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B0B308" w14:textId="77777777" w:rsidR="00163562" w:rsidRDefault="00163562" w:rsidP="00163562">
      <w:pPr>
        <w:pStyle w:val="BodyText"/>
        <w:kinsoku w:val="0"/>
        <w:overflowPunct w:val="0"/>
        <w:spacing w:line="240" w:lineRule="auto"/>
        <w:ind w:left="0"/>
        <w:jc w:val="center"/>
        <w:rPr>
          <w:rFonts w:asciiTheme="minorHAnsi" w:hAnsiTheme="minorHAnsi" w:cstheme="minorHAnsi"/>
          <w:b/>
          <w:bCs/>
          <w:color w:val="000000"/>
          <w:sz w:val="32"/>
          <w:szCs w:val="32"/>
        </w:rPr>
      </w:pPr>
      <w:r w:rsidRPr="00721576">
        <w:rPr>
          <w:rFonts w:asciiTheme="minorHAnsi" w:hAnsiTheme="minorHAnsi" w:cstheme="minorHAnsi"/>
          <w:b/>
          <w:bCs/>
          <w:color w:val="000000"/>
          <w:sz w:val="32"/>
          <w:szCs w:val="32"/>
        </w:rPr>
        <w:t>Chapter II: John King, Esq.</w:t>
      </w:r>
      <w:r>
        <w:rPr>
          <w:rFonts w:asciiTheme="minorHAnsi" w:hAnsiTheme="minorHAnsi" w:cstheme="minorHAnsi"/>
          <w:b/>
          <w:bCs/>
          <w:color w:val="000000"/>
          <w:sz w:val="32"/>
          <w:szCs w:val="32"/>
        </w:rPr>
        <w:t xml:space="preserve"> Before the War</w:t>
      </w:r>
    </w:p>
    <w:p w14:paraId="7AD0FDF0" w14:textId="77777777" w:rsidR="00163562" w:rsidRDefault="00163562" w:rsidP="00163562">
      <w:pPr>
        <w:pStyle w:val="BodyText"/>
        <w:kinsoku w:val="0"/>
        <w:overflowPunct w:val="0"/>
        <w:spacing w:line="240" w:lineRule="auto"/>
        <w:ind w:left="0"/>
        <w:jc w:val="center"/>
        <w:rPr>
          <w:rFonts w:asciiTheme="minorHAnsi" w:hAnsiTheme="minorHAnsi" w:cstheme="minorHAnsi"/>
          <w:b/>
          <w:bCs/>
          <w:color w:val="000000"/>
          <w:sz w:val="32"/>
          <w:szCs w:val="32"/>
        </w:rPr>
      </w:pPr>
    </w:p>
    <w:p w14:paraId="3EAADDB1" w14:textId="485C7BC1" w:rsidR="00163562" w:rsidRDefault="00163562" w:rsidP="00163562">
      <w:pPr>
        <w:pStyle w:val="BodyText"/>
        <w:kinsoku w:val="0"/>
        <w:overflowPunct w:val="0"/>
        <w:spacing w:line="240" w:lineRule="auto"/>
        <w:ind w:left="0"/>
        <w:rPr>
          <w:rFonts w:asciiTheme="minorHAnsi" w:hAnsiTheme="minorHAnsi" w:cstheme="minorHAnsi"/>
          <w:i/>
          <w:iCs/>
          <w:color w:val="000000"/>
          <w:sz w:val="28"/>
          <w:szCs w:val="28"/>
          <w:u w:val="single"/>
        </w:rPr>
      </w:pPr>
      <w:r w:rsidRPr="00535B99">
        <w:rPr>
          <w:rFonts w:asciiTheme="minorHAnsi" w:hAnsiTheme="minorHAnsi" w:cstheme="minorHAnsi"/>
          <w:i/>
          <w:iCs/>
          <w:color w:val="000000"/>
          <w:sz w:val="28"/>
          <w:szCs w:val="28"/>
          <w:u w:val="single"/>
        </w:rPr>
        <w:t>Randolph, MA</w:t>
      </w:r>
    </w:p>
    <w:p w14:paraId="1F048750" w14:textId="77777777" w:rsidR="00DD68A5" w:rsidRPr="00535B99" w:rsidRDefault="00DD68A5" w:rsidP="00163562">
      <w:pPr>
        <w:pStyle w:val="BodyText"/>
        <w:kinsoku w:val="0"/>
        <w:overflowPunct w:val="0"/>
        <w:spacing w:line="240" w:lineRule="auto"/>
        <w:ind w:left="0"/>
        <w:rPr>
          <w:rFonts w:asciiTheme="minorHAnsi" w:hAnsiTheme="minorHAnsi" w:cstheme="minorHAnsi"/>
          <w:i/>
          <w:iCs/>
          <w:color w:val="000000"/>
          <w:sz w:val="28"/>
          <w:szCs w:val="28"/>
          <w:u w:val="single"/>
        </w:rPr>
      </w:pPr>
    </w:p>
    <w:p w14:paraId="3C07B2BB" w14:textId="7EC295C9" w:rsidR="00163562" w:rsidRDefault="00163562" w:rsidP="00163562">
      <w:pPr>
        <w:autoSpaceDE w:val="0"/>
        <w:autoSpaceDN w:val="0"/>
        <w:adjustRightInd w:val="0"/>
        <w:spacing w:after="120" w:line="240" w:lineRule="auto"/>
        <w:rPr>
          <w:rFonts w:cstheme="minorHAnsi"/>
          <w:sz w:val="24"/>
          <w:szCs w:val="24"/>
        </w:rPr>
      </w:pPr>
      <w:r w:rsidRPr="00F9726D">
        <w:rPr>
          <w:rFonts w:cstheme="minorHAnsi"/>
          <w:sz w:val="24"/>
          <w:szCs w:val="24"/>
        </w:rPr>
        <w:t>John King</w:t>
      </w:r>
      <w:r w:rsidR="000D7002">
        <w:rPr>
          <w:rFonts w:cstheme="minorHAnsi"/>
          <w:sz w:val="24"/>
          <w:szCs w:val="24"/>
        </w:rPr>
        <w:t>, Esq.,</w:t>
      </w:r>
      <w:r w:rsidRPr="00F9726D">
        <w:rPr>
          <w:rFonts w:cstheme="minorHAnsi"/>
          <w:sz w:val="24"/>
          <w:szCs w:val="24"/>
        </w:rPr>
        <w:t xml:space="preserve"> and</w:t>
      </w:r>
      <w:r>
        <w:rPr>
          <w:rFonts w:cstheme="minorHAnsi"/>
          <w:sz w:val="24"/>
          <w:szCs w:val="24"/>
        </w:rPr>
        <w:t xml:space="preserve"> Judge</w:t>
      </w:r>
      <w:r w:rsidRPr="00F9726D">
        <w:rPr>
          <w:rFonts w:cstheme="minorHAnsi"/>
          <w:sz w:val="24"/>
          <w:szCs w:val="24"/>
        </w:rPr>
        <w:t xml:space="preserve"> Isaac</w:t>
      </w:r>
      <w:r>
        <w:rPr>
          <w:rFonts w:cstheme="minorHAnsi"/>
          <w:sz w:val="24"/>
          <w:szCs w:val="24"/>
        </w:rPr>
        <w:t xml:space="preserve"> Grant</w:t>
      </w:r>
      <w:r w:rsidRPr="00F9726D">
        <w:rPr>
          <w:rFonts w:cstheme="minorHAnsi"/>
          <w:sz w:val="24"/>
          <w:szCs w:val="24"/>
        </w:rPr>
        <w:t xml:space="preserve"> Wilson</w:t>
      </w:r>
      <w:r>
        <w:rPr>
          <w:rFonts w:cstheme="minorHAnsi"/>
          <w:sz w:val="24"/>
          <w:szCs w:val="24"/>
        </w:rPr>
        <w:t xml:space="preserve"> of Geneva, IL,</w:t>
      </w:r>
      <w:r w:rsidRPr="00F9726D">
        <w:rPr>
          <w:rFonts w:cstheme="minorHAnsi"/>
          <w:sz w:val="24"/>
          <w:szCs w:val="24"/>
        </w:rPr>
        <w:t xml:space="preserve"> were born in 1816</w:t>
      </w:r>
      <w:r w:rsidR="00420D28">
        <w:rPr>
          <w:rFonts w:cstheme="minorHAnsi"/>
          <w:sz w:val="24"/>
          <w:szCs w:val="24"/>
        </w:rPr>
        <w:t>, and b</w:t>
      </w:r>
      <w:r w:rsidR="00BC7012">
        <w:rPr>
          <w:rFonts w:cstheme="minorHAnsi"/>
          <w:sz w:val="24"/>
          <w:szCs w:val="24"/>
        </w:rPr>
        <w:t>oth had ancestral roots in</w:t>
      </w:r>
      <w:r w:rsidR="00C52B4C">
        <w:rPr>
          <w:rFonts w:cstheme="minorHAnsi"/>
          <w:sz w:val="24"/>
          <w:szCs w:val="24"/>
        </w:rPr>
        <w:t xml:space="preserve"> Dedham,</w:t>
      </w:r>
      <w:r w:rsidR="00BC7012">
        <w:rPr>
          <w:rFonts w:cstheme="minorHAnsi"/>
          <w:sz w:val="24"/>
          <w:szCs w:val="24"/>
        </w:rPr>
        <w:t xml:space="preserve"> Massach</w:t>
      </w:r>
      <w:r w:rsidR="00966EC9">
        <w:rPr>
          <w:rFonts w:cstheme="minorHAnsi"/>
          <w:sz w:val="24"/>
          <w:szCs w:val="24"/>
        </w:rPr>
        <w:t>u</w:t>
      </w:r>
      <w:r w:rsidR="00BC7012">
        <w:rPr>
          <w:rFonts w:cstheme="minorHAnsi"/>
          <w:sz w:val="24"/>
          <w:szCs w:val="24"/>
        </w:rPr>
        <w:t>setts.</w:t>
      </w:r>
      <w:r w:rsidRPr="00F9726D">
        <w:rPr>
          <w:rFonts w:cstheme="minorHAnsi"/>
          <w:sz w:val="24"/>
          <w:szCs w:val="24"/>
        </w:rPr>
        <w:t xml:space="preserve"> Wilson was a graduate of Brown University, RI, in 1838</w:t>
      </w:r>
      <w:r w:rsidR="00420D28">
        <w:rPr>
          <w:rFonts w:cstheme="minorHAnsi"/>
          <w:sz w:val="24"/>
          <w:szCs w:val="24"/>
        </w:rPr>
        <w:t xml:space="preserve"> –</w:t>
      </w:r>
      <w:r>
        <w:rPr>
          <w:rFonts w:cstheme="minorHAnsi"/>
          <w:sz w:val="24"/>
          <w:szCs w:val="24"/>
        </w:rPr>
        <w:t xml:space="preserve"> residence was given as </w:t>
      </w:r>
      <w:r w:rsidR="003C6F8E">
        <w:rPr>
          <w:rFonts w:cstheme="minorHAnsi"/>
          <w:sz w:val="24"/>
          <w:szCs w:val="24"/>
        </w:rPr>
        <w:t>“</w:t>
      </w:r>
      <w:r w:rsidR="00474F05">
        <w:rPr>
          <w:rFonts w:cstheme="minorHAnsi"/>
          <w:sz w:val="24"/>
          <w:szCs w:val="24"/>
        </w:rPr>
        <w:t>Geneva</w:t>
      </w:r>
      <w:r>
        <w:rPr>
          <w:rFonts w:cstheme="minorHAnsi"/>
          <w:sz w:val="24"/>
          <w:szCs w:val="24"/>
        </w:rPr>
        <w:t>, Illinois</w:t>
      </w:r>
      <w:r w:rsidR="003C6F8E">
        <w:rPr>
          <w:rFonts w:cstheme="minorHAnsi"/>
          <w:sz w:val="24"/>
          <w:szCs w:val="24"/>
        </w:rPr>
        <w:t>”</w:t>
      </w:r>
      <w:r>
        <w:rPr>
          <w:rFonts w:cstheme="minorHAnsi"/>
          <w:sz w:val="24"/>
          <w:szCs w:val="24"/>
        </w:rPr>
        <w:t xml:space="preserve"> in </w:t>
      </w:r>
      <w:r w:rsidR="00EA5BBC">
        <w:rPr>
          <w:rFonts w:cstheme="minorHAnsi"/>
          <w:sz w:val="24"/>
          <w:szCs w:val="24"/>
        </w:rPr>
        <w:t>the</w:t>
      </w:r>
      <w:r>
        <w:rPr>
          <w:rFonts w:cstheme="minorHAnsi"/>
          <w:sz w:val="24"/>
          <w:szCs w:val="24"/>
        </w:rPr>
        <w:t xml:space="preserve"> notice of graduates.</w:t>
      </w:r>
      <w:r w:rsidR="006444FC">
        <w:rPr>
          <w:rStyle w:val="FootnoteReference"/>
          <w:rFonts w:cstheme="minorHAnsi"/>
          <w:sz w:val="24"/>
          <w:szCs w:val="24"/>
        </w:rPr>
        <w:footnoteReference w:id="1"/>
      </w:r>
      <w:r w:rsidRPr="00F9726D">
        <w:rPr>
          <w:rFonts w:cstheme="minorHAnsi"/>
          <w:sz w:val="24"/>
          <w:szCs w:val="24"/>
        </w:rPr>
        <w:t xml:space="preserve"> </w:t>
      </w:r>
      <w:r w:rsidR="003D1AFC">
        <w:rPr>
          <w:rFonts w:cstheme="minorHAnsi"/>
          <w:sz w:val="24"/>
          <w:szCs w:val="24"/>
        </w:rPr>
        <w:t xml:space="preserve">He </w:t>
      </w:r>
      <w:r w:rsidR="003D1AFC" w:rsidRPr="00F9726D">
        <w:rPr>
          <w:rFonts w:cstheme="minorHAnsi"/>
          <w:sz w:val="24"/>
          <w:szCs w:val="24"/>
        </w:rPr>
        <w:t xml:space="preserve">then attended the </w:t>
      </w:r>
      <w:r w:rsidR="003D1AFC">
        <w:rPr>
          <w:rFonts w:cstheme="minorHAnsi"/>
          <w:sz w:val="24"/>
          <w:szCs w:val="24"/>
        </w:rPr>
        <w:t xml:space="preserve">fledgling and </w:t>
      </w:r>
      <w:r w:rsidR="003D1AFC" w:rsidRPr="00F9726D">
        <w:rPr>
          <w:rFonts w:cstheme="minorHAnsi"/>
          <w:sz w:val="24"/>
          <w:szCs w:val="24"/>
        </w:rPr>
        <w:t>min</w:t>
      </w:r>
      <w:r w:rsidR="003D1AFC">
        <w:rPr>
          <w:rFonts w:cstheme="minorHAnsi"/>
          <w:sz w:val="24"/>
          <w:szCs w:val="24"/>
        </w:rPr>
        <w:t>u</w:t>
      </w:r>
      <w:r w:rsidR="003D1AFC" w:rsidRPr="00F9726D">
        <w:rPr>
          <w:rFonts w:cstheme="minorHAnsi"/>
          <w:sz w:val="24"/>
          <w:szCs w:val="24"/>
        </w:rPr>
        <w:t xml:space="preserve">scule </w:t>
      </w:r>
      <w:r w:rsidR="003D1AFC">
        <w:rPr>
          <w:rFonts w:cstheme="minorHAnsi"/>
          <w:sz w:val="24"/>
          <w:szCs w:val="24"/>
        </w:rPr>
        <w:t>“</w:t>
      </w:r>
      <w:r w:rsidR="003D1AFC" w:rsidRPr="00F9726D">
        <w:rPr>
          <w:rFonts w:cstheme="minorHAnsi"/>
          <w:sz w:val="24"/>
          <w:szCs w:val="24"/>
        </w:rPr>
        <w:t>Cambridge Law School</w:t>
      </w:r>
      <w:r w:rsidR="003D1AFC">
        <w:rPr>
          <w:rFonts w:cstheme="minorHAnsi"/>
          <w:sz w:val="24"/>
          <w:szCs w:val="24"/>
        </w:rPr>
        <w:t>”</w:t>
      </w:r>
      <w:r w:rsidR="003D1AFC" w:rsidRPr="00F9726D">
        <w:rPr>
          <w:rFonts w:cstheme="minorHAnsi"/>
          <w:sz w:val="24"/>
          <w:szCs w:val="24"/>
        </w:rPr>
        <w:t xml:space="preserve"> (Harvard), graduating in 1841.</w:t>
      </w:r>
      <w:r w:rsidR="003D1AFC">
        <w:rPr>
          <w:rFonts w:cstheme="minorHAnsi"/>
          <w:sz w:val="24"/>
          <w:szCs w:val="24"/>
        </w:rPr>
        <w:t xml:space="preserve"> </w:t>
      </w:r>
      <w:r w:rsidRPr="00F9726D">
        <w:rPr>
          <w:rFonts w:cstheme="minorHAnsi"/>
          <w:sz w:val="24"/>
          <w:szCs w:val="24"/>
        </w:rPr>
        <w:t>He was admitted to the Massachusetts Bar in the same year.</w:t>
      </w:r>
      <w:r w:rsidR="00A56FBB">
        <w:rPr>
          <w:rStyle w:val="FootnoteReference"/>
          <w:rFonts w:cstheme="minorHAnsi"/>
          <w:sz w:val="24"/>
          <w:szCs w:val="24"/>
        </w:rPr>
        <w:footnoteReference w:id="2"/>
      </w:r>
    </w:p>
    <w:p w14:paraId="0E608B33" w14:textId="08EA6C09" w:rsidR="00163562" w:rsidRDefault="00163562" w:rsidP="00163562">
      <w:pPr>
        <w:autoSpaceDE w:val="0"/>
        <w:autoSpaceDN w:val="0"/>
        <w:adjustRightInd w:val="0"/>
        <w:spacing w:after="120" w:line="240" w:lineRule="auto"/>
        <w:rPr>
          <w:rFonts w:cstheme="minorHAnsi"/>
          <w:color w:val="000000"/>
          <w:sz w:val="24"/>
          <w:szCs w:val="24"/>
        </w:rPr>
      </w:pPr>
      <w:r w:rsidRPr="00F9726D">
        <w:rPr>
          <w:rFonts w:cstheme="minorHAnsi"/>
          <w:sz w:val="24"/>
          <w:szCs w:val="24"/>
        </w:rPr>
        <w:t xml:space="preserve">Wilson intended to enter </w:t>
      </w:r>
      <w:r w:rsidR="000E3949">
        <w:rPr>
          <w:rFonts w:cstheme="minorHAnsi"/>
          <w:sz w:val="24"/>
          <w:szCs w:val="24"/>
        </w:rPr>
        <w:t xml:space="preserve">law </w:t>
      </w:r>
      <w:r w:rsidRPr="00F9726D">
        <w:rPr>
          <w:rFonts w:cstheme="minorHAnsi"/>
          <w:sz w:val="24"/>
          <w:szCs w:val="24"/>
        </w:rPr>
        <w:t>practice in Chicago in 1841 but found th</w:t>
      </w:r>
      <w:r>
        <w:rPr>
          <w:rFonts w:cstheme="minorHAnsi"/>
          <w:sz w:val="24"/>
          <w:szCs w:val="24"/>
        </w:rPr>
        <w:t>at</w:t>
      </w:r>
      <w:r w:rsidRPr="00F9726D">
        <w:rPr>
          <w:rFonts w:cstheme="minorHAnsi"/>
          <w:sz w:val="24"/>
          <w:szCs w:val="24"/>
        </w:rPr>
        <w:t xml:space="preserve"> place </w:t>
      </w:r>
      <w:r>
        <w:rPr>
          <w:rFonts w:cstheme="minorHAnsi"/>
          <w:sz w:val="24"/>
          <w:szCs w:val="24"/>
        </w:rPr>
        <w:t xml:space="preserve">upon his arrival </w:t>
      </w:r>
      <w:r w:rsidRPr="00F9726D">
        <w:rPr>
          <w:rFonts w:cstheme="minorHAnsi"/>
          <w:sz w:val="24"/>
          <w:szCs w:val="24"/>
        </w:rPr>
        <w:t>over-lawyered and still reeling from the financial panic of 1837. He</w:t>
      </w:r>
      <w:r>
        <w:rPr>
          <w:rFonts w:cstheme="minorHAnsi"/>
          <w:sz w:val="24"/>
          <w:szCs w:val="24"/>
        </w:rPr>
        <w:t xml:space="preserve"> first went to McHenry</w:t>
      </w:r>
      <w:r w:rsidR="00391784">
        <w:rPr>
          <w:rFonts w:cstheme="minorHAnsi"/>
          <w:sz w:val="24"/>
          <w:szCs w:val="24"/>
        </w:rPr>
        <w:t xml:space="preserve"> County</w:t>
      </w:r>
      <w:r>
        <w:rPr>
          <w:rFonts w:cstheme="minorHAnsi"/>
          <w:sz w:val="24"/>
          <w:szCs w:val="24"/>
        </w:rPr>
        <w:t xml:space="preserve"> but</w:t>
      </w:r>
      <w:r w:rsidRPr="00F9726D">
        <w:rPr>
          <w:rFonts w:cstheme="minorHAnsi"/>
          <w:sz w:val="24"/>
          <w:szCs w:val="24"/>
        </w:rPr>
        <w:t xml:space="preserve"> settled in Elgin</w:t>
      </w:r>
      <w:r>
        <w:rPr>
          <w:rFonts w:cstheme="minorHAnsi"/>
          <w:sz w:val="24"/>
          <w:szCs w:val="24"/>
        </w:rPr>
        <w:t>, IL</w:t>
      </w:r>
      <w:r w:rsidR="004D0AA1">
        <w:rPr>
          <w:rFonts w:cstheme="minorHAnsi"/>
          <w:sz w:val="24"/>
          <w:szCs w:val="24"/>
        </w:rPr>
        <w:t xml:space="preserve"> becoming its second lawyer</w:t>
      </w:r>
      <w:r w:rsidRPr="00F9726D">
        <w:rPr>
          <w:rFonts w:cstheme="minorHAnsi"/>
          <w:sz w:val="24"/>
          <w:szCs w:val="24"/>
        </w:rPr>
        <w:t>.</w:t>
      </w:r>
      <w:r>
        <w:rPr>
          <w:rFonts w:cstheme="minorHAnsi"/>
          <w:sz w:val="24"/>
          <w:szCs w:val="24"/>
        </w:rPr>
        <w:t xml:space="preserve"> </w:t>
      </w:r>
      <w:r>
        <w:rPr>
          <w:rFonts w:cstheme="minorHAnsi"/>
          <w:color w:val="000000"/>
          <w:sz w:val="24"/>
          <w:szCs w:val="24"/>
        </w:rPr>
        <w:t xml:space="preserve">William Plato </w:t>
      </w:r>
      <w:r w:rsidR="00287B56">
        <w:rPr>
          <w:rFonts w:cstheme="minorHAnsi"/>
          <w:color w:val="000000"/>
          <w:sz w:val="24"/>
          <w:szCs w:val="24"/>
        </w:rPr>
        <w:t>became his</w:t>
      </w:r>
      <w:r>
        <w:rPr>
          <w:rFonts w:cstheme="minorHAnsi"/>
          <w:color w:val="000000"/>
          <w:sz w:val="24"/>
          <w:szCs w:val="24"/>
        </w:rPr>
        <w:t xml:space="preserve"> </w:t>
      </w:r>
      <w:r w:rsidR="0005502B">
        <w:rPr>
          <w:rFonts w:cstheme="minorHAnsi"/>
          <w:color w:val="000000"/>
          <w:sz w:val="24"/>
          <w:szCs w:val="24"/>
        </w:rPr>
        <w:t xml:space="preserve">first </w:t>
      </w:r>
      <w:r>
        <w:rPr>
          <w:rFonts w:cstheme="minorHAnsi"/>
          <w:color w:val="000000"/>
          <w:sz w:val="24"/>
          <w:szCs w:val="24"/>
        </w:rPr>
        <w:t>Elgin law partner.</w:t>
      </w:r>
      <w:r>
        <w:rPr>
          <w:rStyle w:val="FootnoteReference"/>
          <w:rFonts w:cstheme="minorHAnsi"/>
          <w:color w:val="000000"/>
          <w:sz w:val="24"/>
          <w:szCs w:val="24"/>
        </w:rPr>
        <w:footnoteReference w:id="3"/>
      </w:r>
      <w:r>
        <w:rPr>
          <w:rFonts w:cstheme="minorHAnsi"/>
          <w:color w:val="000000"/>
          <w:sz w:val="24"/>
          <w:szCs w:val="24"/>
        </w:rPr>
        <w:t xml:space="preserve"> Wilson moved to Geneva in </w:t>
      </w:r>
      <w:r w:rsidR="001776DD">
        <w:rPr>
          <w:rFonts w:cstheme="minorHAnsi"/>
          <w:color w:val="000000"/>
          <w:sz w:val="24"/>
          <w:szCs w:val="24"/>
        </w:rPr>
        <w:t>1850</w:t>
      </w:r>
      <w:r w:rsidR="00FE105A">
        <w:rPr>
          <w:rFonts w:cstheme="minorHAnsi"/>
          <w:color w:val="000000"/>
          <w:sz w:val="24"/>
          <w:szCs w:val="24"/>
        </w:rPr>
        <w:t>,</w:t>
      </w:r>
      <w:r w:rsidR="001776DD">
        <w:rPr>
          <w:rFonts w:cstheme="minorHAnsi"/>
          <w:color w:val="000000"/>
          <w:sz w:val="24"/>
          <w:szCs w:val="24"/>
        </w:rPr>
        <w:t xml:space="preserve"> and in </w:t>
      </w:r>
      <w:r>
        <w:rPr>
          <w:rFonts w:cstheme="minorHAnsi"/>
          <w:color w:val="000000"/>
          <w:sz w:val="24"/>
          <w:szCs w:val="24"/>
        </w:rPr>
        <w:t>1852 he became the Circuit Court Judge.</w:t>
      </w:r>
      <w:r>
        <w:rPr>
          <w:rStyle w:val="FootnoteReference"/>
          <w:rFonts w:cstheme="minorHAnsi"/>
          <w:color w:val="000000"/>
          <w:sz w:val="24"/>
          <w:szCs w:val="24"/>
        </w:rPr>
        <w:footnoteReference w:id="4"/>
      </w:r>
      <w:r>
        <w:rPr>
          <w:rFonts w:cstheme="minorHAnsi"/>
          <w:color w:val="000000"/>
          <w:sz w:val="24"/>
          <w:szCs w:val="24"/>
        </w:rPr>
        <w:t xml:space="preserve"> Isaac Wilson and John King were at Harvard at about the same time.</w:t>
      </w:r>
      <w:r w:rsidR="00835A81">
        <w:rPr>
          <w:rFonts w:cstheme="minorHAnsi"/>
          <w:color w:val="000000"/>
          <w:sz w:val="24"/>
          <w:szCs w:val="24"/>
        </w:rPr>
        <w:t xml:space="preserve"> </w:t>
      </w:r>
      <w:r w:rsidR="00D557CE">
        <w:rPr>
          <w:rFonts w:cstheme="minorHAnsi"/>
          <w:color w:val="000000"/>
          <w:sz w:val="24"/>
          <w:szCs w:val="24"/>
        </w:rPr>
        <w:t>Like John King, Isaac Wilson ran into trouble near the beginning of his military career that ended abruptly under a dark cloud after only a few weeks</w:t>
      </w:r>
      <w:r w:rsidR="00212372">
        <w:rPr>
          <w:rFonts w:cstheme="minorHAnsi"/>
          <w:color w:val="000000"/>
          <w:sz w:val="24"/>
          <w:szCs w:val="24"/>
        </w:rPr>
        <w:t>. He and Genevan C.D. Wells were indicted by a federal grand jury</w:t>
      </w:r>
      <w:r w:rsidR="0001353B">
        <w:rPr>
          <w:rFonts w:cstheme="minorHAnsi"/>
          <w:color w:val="000000"/>
          <w:sz w:val="24"/>
          <w:szCs w:val="24"/>
        </w:rPr>
        <w:t xml:space="preserve"> in December of 1861</w:t>
      </w:r>
      <w:r w:rsidR="00C93EDF">
        <w:rPr>
          <w:rFonts w:cstheme="minorHAnsi"/>
          <w:color w:val="000000"/>
          <w:sz w:val="24"/>
          <w:szCs w:val="24"/>
        </w:rPr>
        <w:t>, but more about this la</w:t>
      </w:r>
      <w:r w:rsidR="004D1DEC">
        <w:rPr>
          <w:rFonts w:cstheme="minorHAnsi"/>
          <w:color w:val="000000"/>
          <w:sz w:val="24"/>
          <w:szCs w:val="24"/>
        </w:rPr>
        <w:t>ter.</w:t>
      </w:r>
      <w:r w:rsidR="004D1DEC">
        <w:rPr>
          <w:rStyle w:val="FootnoteReference"/>
          <w:rFonts w:cstheme="minorHAnsi"/>
          <w:color w:val="000000"/>
          <w:sz w:val="24"/>
          <w:szCs w:val="24"/>
        </w:rPr>
        <w:footnoteReference w:id="5"/>
      </w:r>
    </w:p>
    <w:p w14:paraId="28C8E025" w14:textId="4F220B72" w:rsidR="00163562" w:rsidRDefault="00163562" w:rsidP="00163562">
      <w:pPr>
        <w:pStyle w:val="BodyText"/>
        <w:kinsoku w:val="0"/>
        <w:overflowPunct w:val="0"/>
        <w:spacing w:after="120" w:line="240" w:lineRule="auto"/>
        <w:ind w:left="0"/>
        <w:rPr>
          <w:rFonts w:asciiTheme="minorHAnsi" w:hAnsiTheme="minorHAnsi" w:cstheme="minorHAnsi"/>
          <w:sz w:val="24"/>
          <w:szCs w:val="24"/>
        </w:rPr>
      </w:pPr>
      <w:r w:rsidRPr="00F9726D">
        <w:rPr>
          <w:rFonts w:asciiTheme="minorHAnsi" w:hAnsiTheme="minorHAnsi" w:cstheme="minorHAnsi"/>
          <w:sz w:val="24"/>
          <w:szCs w:val="24"/>
        </w:rPr>
        <w:t>During the 19th</w:t>
      </w:r>
      <w:r>
        <w:rPr>
          <w:rFonts w:asciiTheme="minorHAnsi" w:hAnsiTheme="minorHAnsi" w:cstheme="minorHAnsi"/>
          <w:sz w:val="24"/>
          <w:szCs w:val="24"/>
        </w:rPr>
        <w:t>-</w:t>
      </w:r>
      <w:r w:rsidRPr="00F9726D">
        <w:rPr>
          <w:rFonts w:asciiTheme="minorHAnsi" w:hAnsiTheme="minorHAnsi" w:cstheme="minorHAnsi"/>
          <w:sz w:val="24"/>
          <w:szCs w:val="24"/>
        </w:rPr>
        <w:t>century</w:t>
      </w:r>
      <w:r>
        <w:rPr>
          <w:rFonts w:asciiTheme="minorHAnsi" w:hAnsiTheme="minorHAnsi" w:cstheme="minorHAnsi"/>
          <w:sz w:val="24"/>
          <w:szCs w:val="24"/>
        </w:rPr>
        <w:t>,</w:t>
      </w:r>
      <w:r w:rsidRPr="00F9726D">
        <w:rPr>
          <w:rFonts w:asciiTheme="minorHAnsi" w:hAnsiTheme="minorHAnsi" w:cstheme="minorHAnsi"/>
          <w:sz w:val="24"/>
          <w:szCs w:val="24"/>
        </w:rPr>
        <w:t xml:space="preserve"> </w:t>
      </w:r>
      <w:r>
        <w:rPr>
          <w:rFonts w:asciiTheme="minorHAnsi" w:hAnsiTheme="minorHAnsi" w:cstheme="minorHAnsi"/>
          <w:sz w:val="24"/>
          <w:szCs w:val="24"/>
        </w:rPr>
        <w:t xml:space="preserve">a </w:t>
      </w:r>
      <w:r w:rsidRPr="00F9726D">
        <w:rPr>
          <w:rFonts w:asciiTheme="minorHAnsi" w:hAnsiTheme="minorHAnsi" w:cstheme="minorHAnsi"/>
          <w:sz w:val="24"/>
          <w:szCs w:val="24"/>
        </w:rPr>
        <w:t xml:space="preserve">university legal education was considered of marginal benefit compared to apprenticeships in </w:t>
      </w:r>
      <w:r w:rsidR="00FE105A">
        <w:rPr>
          <w:rFonts w:asciiTheme="minorHAnsi" w:hAnsiTheme="minorHAnsi" w:cstheme="minorHAnsi"/>
          <w:sz w:val="24"/>
          <w:szCs w:val="24"/>
        </w:rPr>
        <w:t xml:space="preserve">a </w:t>
      </w:r>
      <w:r w:rsidRPr="00F9726D">
        <w:rPr>
          <w:rFonts w:asciiTheme="minorHAnsi" w:hAnsiTheme="minorHAnsi" w:cstheme="minorHAnsi"/>
          <w:sz w:val="24"/>
          <w:szCs w:val="24"/>
        </w:rPr>
        <w:t>legal practice. John King graduated from Harvard in 1839 and apprenticed with</w:t>
      </w:r>
      <w:r>
        <w:rPr>
          <w:rFonts w:asciiTheme="minorHAnsi" w:hAnsiTheme="minorHAnsi" w:cstheme="minorHAnsi"/>
          <w:sz w:val="24"/>
          <w:szCs w:val="24"/>
        </w:rPr>
        <w:t xml:space="preserve"> Boston</w:t>
      </w:r>
      <w:r w:rsidR="003C6F8E">
        <w:rPr>
          <w:rFonts w:asciiTheme="minorHAnsi" w:hAnsiTheme="minorHAnsi" w:cstheme="minorHAnsi"/>
          <w:sz w:val="24"/>
          <w:szCs w:val="24"/>
        </w:rPr>
        <w:t>’</w:t>
      </w:r>
      <w:r>
        <w:rPr>
          <w:rFonts w:asciiTheme="minorHAnsi" w:hAnsiTheme="minorHAnsi" w:cstheme="minorHAnsi"/>
          <w:sz w:val="24"/>
          <w:szCs w:val="24"/>
        </w:rPr>
        <w:t>s</w:t>
      </w:r>
      <w:r w:rsidRPr="00F9726D">
        <w:rPr>
          <w:rFonts w:asciiTheme="minorHAnsi" w:hAnsiTheme="minorHAnsi" w:cstheme="minorHAnsi"/>
          <w:sz w:val="24"/>
          <w:szCs w:val="24"/>
        </w:rPr>
        <w:t xml:space="preserve"> Rufus Choate</w:t>
      </w:r>
      <w:r>
        <w:rPr>
          <w:rFonts w:asciiTheme="minorHAnsi" w:hAnsiTheme="minorHAnsi" w:cstheme="minorHAnsi"/>
          <w:sz w:val="24"/>
          <w:szCs w:val="24"/>
        </w:rPr>
        <w:t xml:space="preserve"> and Dedham</w:t>
      </w:r>
      <w:r w:rsidR="003C6F8E">
        <w:rPr>
          <w:rFonts w:asciiTheme="minorHAnsi" w:hAnsiTheme="minorHAnsi" w:cstheme="minorHAnsi"/>
          <w:sz w:val="24"/>
          <w:szCs w:val="24"/>
        </w:rPr>
        <w:t>’</w:t>
      </w:r>
      <w:r>
        <w:rPr>
          <w:rFonts w:asciiTheme="minorHAnsi" w:hAnsiTheme="minorHAnsi" w:cstheme="minorHAnsi"/>
          <w:sz w:val="24"/>
          <w:szCs w:val="24"/>
        </w:rPr>
        <w:t>s Ezra Wilkinson,</w:t>
      </w:r>
      <w:r w:rsidRPr="00F9726D">
        <w:rPr>
          <w:rFonts w:asciiTheme="minorHAnsi" w:hAnsiTheme="minorHAnsi" w:cstheme="minorHAnsi"/>
          <w:sz w:val="24"/>
          <w:szCs w:val="24"/>
        </w:rPr>
        <w:t xml:space="preserve"> </w:t>
      </w:r>
      <w:r>
        <w:rPr>
          <w:rFonts w:asciiTheme="minorHAnsi" w:hAnsiTheme="minorHAnsi" w:cstheme="minorHAnsi"/>
          <w:sz w:val="24"/>
          <w:szCs w:val="24"/>
        </w:rPr>
        <w:t>two</w:t>
      </w:r>
      <w:r w:rsidRPr="00F9726D">
        <w:rPr>
          <w:rFonts w:asciiTheme="minorHAnsi" w:hAnsiTheme="minorHAnsi" w:cstheme="minorHAnsi"/>
          <w:sz w:val="24"/>
          <w:szCs w:val="24"/>
        </w:rPr>
        <w:t xml:space="preserve"> of the best-known American lawyers</w:t>
      </w:r>
      <w:r w:rsidR="0036432F">
        <w:rPr>
          <w:rFonts w:asciiTheme="minorHAnsi" w:hAnsiTheme="minorHAnsi" w:cstheme="minorHAnsi"/>
          <w:sz w:val="24"/>
          <w:szCs w:val="24"/>
        </w:rPr>
        <w:t xml:space="preserve"> and</w:t>
      </w:r>
      <w:r>
        <w:rPr>
          <w:rFonts w:asciiTheme="minorHAnsi" w:hAnsiTheme="minorHAnsi" w:cstheme="minorHAnsi"/>
          <w:sz w:val="24"/>
          <w:szCs w:val="24"/>
        </w:rPr>
        <w:t xml:space="preserve"> </w:t>
      </w:r>
      <w:r w:rsidR="00EB5258">
        <w:rPr>
          <w:rFonts w:asciiTheme="minorHAnsi" w:hAnsiTheme="minorHAnsi" w:cstheme="minorHAnsi"/>
          <w:sz w:val="24"/>
          <w:szCs w:val="24"/>
        </w:rPr>
        <w:t>(especially in</w:t>
      </w:r>
      <w:r>
        <w:rPr>
          <w:rFonts w:asciiTheme="minorHAnsi" w:hAnsiTheme="minorHAnsi" w:cstheme="minorHAnsi"/>
          <w:sz w:val="24"/>
          <w:szCs w:val="24"/>
        </w:rPr>
        <w:t xml:space="preserve"> Choate) orators</w:t>
      </w:r>
      <w:r w:rsidRPr="00F9726D">
        <w:rPr>
          <w:rFonts w:asciiTheme="minorHAnsi" w:hAnsiTheme="minorHAnsi" w:cstheme="minorHAnsi"/>
          <w:sz w:val="24"/>
          <w:szCs w:val="24"/>
        </w:rPr>
        <w:t xml:space="preserve"> of the 19</w:t>
      </w:r>
      <w:r w:rsidRPr="00F9726D">
        <w:rPr>
          <w:rFonts w:asciiTheme="minorHAnsi" w:hAnsiTheme="minorHAnsi" w:cstheme="minorHAnsi"/>
          <w:sz w:val="24"/>
          <w:szCs w:val="24"/>
          <w:vertAlign w:val="superscript"/>
        </w:rPr>
        <w:t>th</w:t>
      </w:r>
      <w:r w:rsidRPr="00F9726D">
        <w:rPr>
          <w:rFonts w:asciiTheme="minorHAnsi" w:hAnsiTheme="minorHAnsi" w:cstheme="minorHAnsi"/>
          <w:sz w:val="24"/>
          <w:szCs w:val="24"/>
        </w:rPr>
        <w:t xml:space="preserve"> Century</w:t>
      </w:r>
      <w:r>
        <w:rPr>
          <w:rFonts w:asciiTheme="minorHAnsi" w:hAnsiTheme="minorHAnsi" w:cstheme="minorHAnsi"/>
          <w:sz w:val="24"/>
          <w:szCs w:val="24"/>
        </w:rPr>
        <w:t>.</w:t>
      </w:r>
      <w:r w:rsidRPr="00F9726D">
        <w:rPr>
          <w:rFonts w:asciiTheme="minorHAnsi" w:hAnsiTheme="minorHAnsi" w:cstheme="minorHAnsi"/>
          <w:sz w:val="24"/>
          <w:szCs w:val="24"/>
        </w:rPr>
        <w:t xml:space="preserve"> </w:t>
      </w:r>
      <w:r>
        <w:rPr>
          <w:rFonts w:asciiTheme="minorHAnsi" w:hAnsiTheme="minorHAnsi" w:cstheme="minorHAnsi"/>
          <w:sz w:val="24"/>
          <w:szCs w:val="24"/>
        </w:rPr>
        <w:t xml:space="preserve">Choate </w:t>
      </w:r>
      <w:r w:rsidRPr="00F9726D">
        <w:rPr>
          <w:rFonts w:asciiTheme="minorHAnsi" w:hAnsiTheme="minorHAnsi" w:cstheme="minorHAnsi"/>
          <w:sz w:val="24"/>
          <w:szCs w:val="24"/>
        </w:rPr>
        <w:t>rank</w:t>
      </w:r>
      <w:r>
        <w:rPr>
          <w:rFonts w:asciiTheme="minorHAnsi" w:hAnsiTheme="minorHAnsi" w:cstheme="minorHAnsi"/>
          <w:sz w:val="24"/>
          <w:szCs w:val="24"/>
        </w:rPr>
        <w:t>ed</w:t>
      </w:r>
      <w:r w:rsidRPr="00F9726D">
        <w:rPr>
          <w:rFonts w:asciiTheme="minorHAnsi" w:hAnsiTheme="minorHAnsi" w:cstheme="minorHAnsi"/>
          <w:sz w:val="24"/>
          <w:szCs w:val="24"/>
        </w:rPr>
        <w:t xml:space="preserve"> with his friend and fellow Dartmouth Graduate Daniel Webster. </w:t>
      </w:r>
    </w:p>
    <w:p w14:paraId="1E8E9052" w14:textId="393BA6CD" w:rsidR="00163562" w:rsidRPr="007B4206" w:rsidRDefault="00163562" w:rsidP="00163562">
      <w:pPr>
        <w:pStyle w:val="BodyText"/>
        <w:kinsoku w:val="0"/>
        <w:overflowPunct w:val="0"/>
        <w:spacing w:after="120" w:line="240" w:lineRule="auto"/>
        <w:ind w:left="0"/>
        <w:rPr>
          <w:rFonts w:asciiTheme="minorHAnsi" w:hAnsiTheme="minorHAnsi" w:cstheme="minorHAnsi"/>
          <w:color w:val="000000"/>
          <w:sz w:val="24"/>
          <w:szCs w:val="24"/>
        </w:rPr>
      </w:pPr>
      <w:r w:rsidRPr="00F9726D">
        <w:rPr>
          <w:rFonts w:asciiTheme="minorHAnsi" w:hAnsiTheme="minorHAnsi" w:cstheme="minorHAnsi"/>
          <w:sz w:val="24"/>
          <w:szCs w:val="24"/>
        </w:rPr>
        <w:t xml:space="preserve">Thus, </w:t>
      </w:r>
      <w:r w:rsidR="00C52B4C">
        <w:rPr>
          <w:rFonts w:asciiTheme="minorHAnsi" w:hAnsiTheme="minorHAnsi" w:cstheme="minorHAnsi"/>
          <w:sz w:val="24"/>
          <w:szCs w:val="24"/>
        </w:rPr>
        <w:t>by legal pedigrees, Isaac Wilson and John King</w:t>
      </w:r>
      <w:r w:rsidRPr="00F9726D">
        <w:rPr>
          <w:rFonts w:asciiTheme="minorHAnsi" w:hAnsiTheme="minorHAnsi" w:cstheme="minorHAnsi"/>
          <w:sz w:val="24"/>
          <w:szCs w:val="24"/>
        </w:rPr>
        <w:t xml:space="preserve"> were the most well-educated</w:t>
      </w:r>
      <w:r>
        <w:rPr>
          <w:rFonts w:asciiTheme="minorHAnsi" w:hAnsiTheme="minorHAnsi" w:cstheme="minorHAnsi"/>
          <w:sz w:val="24"/>
          <w:szCs w:val="24"/>
        </w:rPr>
        <w:t xml:space="preserve"> Fox Valley</w:t>
      </w:r>
      <w:r w:rsidRPr="00F9726D">
        <w:rPr>
          <w:rFonts w:asciiTheme="minorHAnsi" w:hAnsiTheme="minorHAnsi" w:cstheme="minorHAnsi"/>
          <w:sz w:val="24"/>
          <w:szCs w:val="24"/>
        </w:rPr>
        <w:t xml:space="preserve"> lawyers of their era, and </w:t>
      </w:r>
      <w:r>
        <w:rPr>
          <w:rFonts w:asciiTheme="minorHAnsi" w:hAnsiTheme="minorHAnsi" w:cstheme="minorHAnsi"/>
          <w:sz w:val="24"/>
          <w:szCs w:val="24"/>
        </w:rPr>
        <w:t>both</w:t>
      </w:r>
      <w:r w:rsidRPr="00F9726D">
        <w:rPr>
          <w:rFonts w:asciiTheme="minorHAnsi" w:hAnsiTheme="minorHAnsi" w:cstheme="minorHAnsi"/>
          <w:sz w:val="24"/>
          <w:szCs w:val="24"/>
        </w:rPr>
        <w:t xml:space="preserve"> resided in both Elgin and Geneva. Since Wilson was the Circuit Judge in Kane County for most of the 1850s, the two must have crossed paths often</w:t>
      </w:r>
      <w:r w:rsidRPr="00F9726D">
        <w:rPr>
          <w:rFonts w:asciiTheme="minorHAnsi" w:hAnsiTheme="minorHAnsi" w:cstheme="minorHAnsi"/>
          <w:color w:val="000000"/>
          <w:sz w:val="24"/>
          <w:szCs w:val="24"/>
        </w:rPr>
        <w:t>.</w:t>
      </w:r>
      <w:r w:rsidRPr="00F9726D">
        <w:rPr>
          <w:rStyle w:val="FootnoteReference"/>
          <w:rFonts w:asciiTheme="minorHAnsi" w:hAnsiTheme="minorHAnsi" w:cstheme="minorHAnsi"/>
          <w:color w:val="000000"/>
          <w:sz w:val="24"/>
          <w:szCs w:val="24"/>
        </w:rPr>
        <w:footnoteReference w:id="6"/>
      </w:r>
      <w:r w:rsidRPr="00F9726D">
        <w:rPr>
          <w:rFonts w:asciiTheme="minorHAnsi" w:hAnsiTheme="minorHAnsi" w:cstheme="minorHAnsi"/>
          <w:color w:val="000000"/>
          <w:sz w:val="24"/>
          <w:szCs w:val="24"/>
        </w:rPr>
        <w:t xml:space="preserve"> Only Edward E. Harvey</w:t>
      </w:r>
      <w:r>
        <w:rPr>
          <w:rFonts w:asciiTheme="minorHAnsi" w:hAnsiTheme="minorHAnsi" w:cstheme="minorHAnsi"/>
          <w:color w:val="000000"/>
          <w:sz w:val="24"/>
          <w:szCs w:val="24"/>
        </w:rPr>
        <w:t xml:space="preserve">, who died in Mexico at Puebla during the War on 19 March 1848, </w:t>
      </w:r>
      <w:r w:rsidRPr="00F9726D">
        <w:rPr>
          <w:rFonts w:asciiTheme="minorHAnsi" w:hAnsiTheme="minorHAnsi" w:cstheme="minorHAnsi"/>
          <w:color w:val="000000"/>
          <w:sz w:val="24"/>
          <w:szCs w:val="24"/>
        </w:rPr>
        <w:t xml:space="preserve">had </w:t>
      </w:r>
      <w:r w:rsidRPr="00F9726D">
        <w:rPr>
          <w:rFonts w:asciiTheme="minorHAnsi" w:hAnsiTheme="minorHAnsi" w:cstheme="minorHAnsi"/>
          <w:color w:val="000000"/>
          <w:sz w:val="24"/>
          <w:szCs w:val="24"/>
        </w:rPr>
        <w:lastRenderedPageBreak/>
        <w:t xml:space="preserve">preceded </w:t>
      </w:r>
      <w:r>
        <w:rPr>
          <w:rFonts w:asciiTheme="minorHAnsi" w:hAnsiTheme="minorHAnsi" w:cstheme="minorHAnsi"/>
          <w:color w:val="000000"/>
          <w:sz w:val="24"/>
          <w:szCs w:val="24"/>
        </w:rPr>
        <w:t>Wilson as a lawyer</w:t>
      </w:r>
      <w:r w:rsidRPr="00F9726D">
        <w:rPr>
          <w:rFonts w:asciiTheme="minorHAnsi" w:hAnsiTheme="minorHAnsi" w:cstheme="minorHAnsi"/>
          <w:color w:val="000000"/>
          <w:sz w:val="24"/>
          <w:szCs w:val="24"/>
        </w:rPr>
        <w:t xml:space="preserve"> in Elgin</w:t>
      </w:r>
      <w:r>
        <w:rPr>
          <w:rFonts w:asciiTheme="minorHAnsi" w:hAnsiTheme="minorHAnsi" w:cstheme="minorHAnsi"/>
          <w:color w:val="000000"/>
          <w:sz w:val="24"/>
          <w:szCs w:val="24"/>
        </w:rPr>
        <w:t>.</w:t>
      </w:r>
      <w:r>
        <w:rPr>
          <w:rStyle w:val="FootnoteReference"/>
          <w:rFonts w:asciiTheme="minorHAnsi" w:hAnsiTheme="minorHAnsi" w:cstheme="minorHAnsi"/>
          <w:color w:val="000000"/>
          <w:sz w:val="24"/>
          <w:szCs w:val="24"/>
        </w:rPr>
        <w:footnoteReference w:id="7"/>
      </w:r>
      <w:r>
        <w:rPr>
          <w:rFonts w:asciiTheme="minorHAnsi" w:hAnsiTheme="minorHAnsi" w:cstheme="minorHAnsi"/>
          <w:color w:val="000000"/>
          <w:sz w:val="24"/>
          <w:szCs w:val="24"/>
        </w:rPr>
        <w:t xml:space="preserve"> Edward Harvey</w:t>
      </w:r>
      <w:r w:rsidRPr="00F9726D">
        <w:rPr>
          <w:rFonts w:asciiTheme="minorHAnsi" w:hAnsiTheme="minorHAnsi" w:cstheme="minorHAnsi"/>
          <w:color w:val="000000"/>
          <w:sz w:val="24"/>
          <w:szCs w:val="24"/>
        </w:rPr>
        <w:t xml:space="preserve"> arriv</w:t>
      </w:r>
      <w:r>
        <w:rPr>
          <w:rFonts w:asciiTheme="minorHAnsi" w:hAnsiTheme="minorHAnsi" w:cstheme="minorHAnsi"/>
          <w:color w:val="000000"/>
          <w:sz w:val="24"/>
          <w:szCs w:val="24"/>
        </w:rPr>
        <w:t xml:space="preserve">ed </w:t>
      </w:r>
      <w:r w:rsidRPr="00F9726D">
        <w:rPr>
          <w:rFonts w:asciiTheme="minorHAnsi" w:hAnsiTheme="minorHAnsi" w:cstheme="minorHAnsi"/>
          <w:color w:val="000000"/>
          <w:sz w:val="24"/>
          <w:szCs w:val="24"/>
        </w:rPr>
        <w:t xml:space="preserve">in 1840 after </w:t>
      </w:r>
      <w:r w:rsidR="003C6F8E">
        <w:rPr>
          <w:rFonts w:asciiTheme="minorHAnsi" w:hAnsiTheme="minorHAnsi" w:cstheme="minorHAnsi"/>
          <w:color w:val="000000"/>
          <w:sz w:val="24"/>
          <w:szCs w:val="24"/>
        </w:rPr>
        <w:t>“</w:t>
      </w:r>
      <w:r w:rsidRPr="00F9726D">
        <w:rPr>
          <w:rFonts w:asciiTheme="minorHAnsi" w:hAnsiTheme="minorHAnsi" w:cstheme="minorHAnsi"/>
          <w:color w:val="000000"/>
          <w:sz w:val="24"/>
          <w:szCs w:val="24"/>
        </w:rPr>
        <w:t>reading</w:t>
      </w:r>
      <w:r w:rsidR="003C6F8E">
        <w:rPr>
          <w:rFonts w:asciiTheme="minorHAnsi" w:hAnsiTheme="minorHAnsi" w:cstheme="minorHAnsi"/>
          <w:color w:val="000000"/>
          <w:sz w:val="24"/>
          <w:szCs w:val="24"/>
        </w:rPr>
        <w:t>”</w:t>
      </w:r>
      <w:r w:rsidRPr="00F9726D">
        <w:rPr>
          <w:rFonts w:asciiTheme="minorHAnsi" w:hAnsiTheme="minorHAnsi" w:cstheme="minorHAnsi"/>
          <w:color w:val="000000"/>
          <w:sz w:val="24"/>
          <w:szCs w:val="24"/>
        </w:rPr>
        <w:t xml:space="preserve"> law with Joseph C</w:t>
      </w:r>
      <w:r>
        <w:rPr>
          <w:rFonts w:asciiTheme="minorHAnsi" w:hAnsiTheme="minorHAnsi" w:cstheme="minorHAnsi"/>
          <w:color w:val="000000"/>
          <w:sz w:val="24"/>
          <w:szCs w:val="24"/>
        </w:rPr>
        <w:t>h</w:t>
      </w:r>
      <w:r w:rsidRPr="00F9726D">
        <w:rPr>
          <w:rFonts w:asciiTheme="minorHAnsi" w:hAnsiTheme="minorHAnsi" w:cstheme="minorHAnsi"/>
          <w:color w:val="000000"/>
          <w:sz w:val="24"/>
          <w:szCs w:val="24"/>
        </w:rPr>
        <w:t xml:space="preserve">urchill in </w:t>
      </w:r>
      <w:r>
        <w:rPr>
          <w:rFonts w:asciiTheme="minorHAnsi" w:hAnsiTheme="minorHAnsi" w:cstheme="minorHAnsi"/>
          <w:color w:val="000000"/>
          <w:sz w:val="24"/>
          <w:szCs w:val="24"/>
        </w:rPr>
        <w:t xml:space="preserve">Batavia. Churchill, of course, </w:t>
      </w:r>
      <w:r w:rsidRPr="00F9726D">
        <w:rPr>
          <w:rFonts w:asciiTheme="minorHAnsi" w:hAnsiTheme="minorHAnsi" w:cstheme="minorHAnsi"/>
          <w:color w:val="000000"/>
          <w:sz w:val="24"/>
          <w:szCs w:val="24"/>
        </w:rPr>
        <w:t>was married to</w:t>
      </w:r>
      <w:r>
        <w:rPr>
          <w:rFonts w:asciiTheme="minorHAnsi" w:hAnsiTheme="minorHAnsi" w:cstheme="minorHAnsi"/>
          <w:color w:val="000000"/>
          <w:sz w:val="24"/>
          <w:szCs w:val="24"/>
        </w:rPr>
        <w:t xml:space="preserve"> an</w:t>
      </w:r>
      <w:r w:rsidRPr="00F9726D">
        <w:rPr>
          <w:rFonts w:asciiTheme="minorHAnsi" w:hAnsiTheme="minorHAnsi" w:cstheme="minorHAnsi"/>
          <w:color w:val="000000"/>
          <w:sz w:val="24"/>
          <w:szCs w:val="24"/>
        </w:rPr>
        <w:t xml:space="preserve"> Isaac</w:t>
      </w:r>
      <w:r>
        <w:rPr>
          <w:rFonts w:asciiTheme="minorHAnsi" w:hAnsiTheme="minorHAnsi" w:cstheme="minorHAnsi"/>
          <w:color w:val="000000"/>
          <w:sz w:val="24"/>
          <w:szCs w:val="24"/>
        </w:rPr>
        <w:t xml:space="preserve"> Wilson</w:t>
      </w:r>
      <w:r w:rsidRPr="00F9726D">
        <w:rPr>
          <w:rFonts w:asciiTheme="minorHAnsi" w:hAnsiTheme="minorHAnsi" w:cstheme="minorHAnsi"/>
          <w:color w:val="000000"/>
          <w:sz w:val="24"/>
          <w:szCs w:val="24"/>
        </w:rPr>
        <w:t xml:space="preserve"> sister.</w:t>
      </w:r>
      <w:r w:rsidRPr="00F9726D">
        <w:rPr>
          <w:rStyle w:val="FootnoteReference"/>
          <w:rFonts w:asciiTheme="minorHAnsi" w:hAnsiTheme="minorHAnsi" w:cstheme="minorHAnsi"/>
          <w:color w:val="000000"/>
          <w:sz w:val="24"/>
          <w:szCs w:val="24"/>
        </w:rPr>
        <w:footnoteReference w:id="8"/>
      </w:r>
      <w:r>
        <w:rPr>
          <w:rFonts w:asciiTheme="minorHAnsi" w:hAnsiTheme="minorHAnsi" w:cstheme="minorHAnsi"/>
          <w:color w:val="000000"/>
          <w:sz w:val="24"/>
          <w:szCs w:val="24"/>
        </w:rPr>
        <w:t xml:space="preserve"> </w:t>
      </w:r>
    </w:p>
    <w:p w14:paraId="5E436F5B" w14:textId="3C93C447" w:rsidR="00163562" w:rsidRPr="00F7735D" w:rsidRDefault="00163562" w:rsidP="00163562">
      <w:pPr>
        <w:pStyle w:val="Heading4"/>
        <w:spacing w:before="0" w:after="120" w:line="240" w:lineRule="auto"/>
        <w:rPr>
          <w:rFonts w:asciiTheme="minorHAnsi" w:hAnsiTheme="minorHAnsi" w:cstheme="minorHAnsi"/>
          <w:i w:val="0"/>
          <w:color w:val="181A1C"/>
          <w:sz w:val="24"/>
          <w:szCs w:val="24"/>
        </w:rPr>
      </w:pPr>
      <w:r w:rsidRPr="00D90EDD">
        <w:rPr>
          <w:rFonts w:asciiTheme="minorHAnsi" w:hAnsiTheme="minorHAnsi" w:cstheme="minorHAnsi"/>
          <w:i w:val="0"/>
          <w:iCs w:val="0"/>
          <w:color w:val="333333"/>
          <w:w w:val="105"/>
          <w:sz w:val="24"/>
          <w:szCs w:val="24"/>
        </w:rPr>
        <w:t xml:space="preserve">Many </w:t>
      </w:r>
      <w:r>
        <w:rPr>
          <w:rFonts w:asciiTheme="minorHAnsi" w:hAnsiTheme="minorHAnsi" w:cstheme="minorHAnsi"/>
          <w:i w:val="0"/>
          <w:iCs w:val="0"/>
          <w:color w:val="333333"/>
          <w:w w:val="105"/>
          <w:sz w:val="24"/>
          <w:szCs w:val="24"/>
        </w:rPr>
        <w:t xml:space="preserve">American </w:t>
      </w:r>
      <w:r w:rsidRPr="00D90EDD">
        <w:rPr>
          <w:rFonts w:asciiTheme="minorHAnsi" w:hAnsiTheme="minorHAnsi" w:cstheme="minorHAnsi"/>
          <w:i w:val="0"/>
          <w:iCs w:val="0"/>
          <w:color w:val="333333"/>
          <w:w w:val="105"/>
          <w:sz w:val="24"/>
          <w:szCs w:val="24"/>
        </w:rPr>
        <w:t>John Kings traced their ancestry to Elder Thomas King, who</w:t>
      </w:r>
      <w:r>
        <w:rPr>
          <w:rFonts w:asciiTheme="minorHAnsi" w:hAnsiTheme="minorHAnsi" w:cstheme="minorHAnsi"/>
          <w:i w:val="0"/>
          <w:iCs w:val="0"/>
          <w:color w:val="333333"/>
          <w:w w:val="105"/>
          <w:sz w:val="24"/>
          <w:szCs w:val="24"/>
        </w:rPr>
        <w:t xml:space="preserve"> foretold a long-held King family passion when he</w:t>
      </w:r>
      <w:r w:rsidRPr="00D90EDD">
        <w:rPr>
          <w:rFonts w:asciiTheme="minorHAnsi" w:hAnsiTheme="minorHAnsi" w:cstheme="minorHAnsi"/>
          <w:i w:val="0"/>
          <w:iCs w:val="0"/>
          <w:color w:val="333333"/>
          <w:w w:val="105"/>
          <w:sz w:val="24"/>
          <w:szCs w:val="24"/>
        </w:rPr>
        <w:t xml:space="preserve"> wrote in his </w:t>
      </w:r>
      <w:r>
        <w:rPr>
          <w:rFonts w:asciiTheme="minorHAnsi" w:hAnsiTheme="minorHAnsi" w:cstheme="minorHAnsi"/>
          <w:i w:val="0"/>
          <w:iCs w:val="0"/>
          <w:color w:val="333333"/>
          <w:w w:val="105"/>
          <w:sz w:val="24"/>
          <w:szCs w:val="24"/>
        </w:rPr>
        <w:t>Last Will and Testament:</w:t>
      </w:r>
      <w:r w:rsidRPr="00D90EDD">
        <w:rPr>
          <w:rFonts w:asciiTheme="minorHAnsi" w:hAnsiTheme="minorHAnsi" w:cstheme="minorHAnsi"/>
          <w:i w:val="0"/>
          <w:iCs w:val="0"/>
          <w:color w:val="333333"/>
          <w:w w:val="105"/>
          <w:sz w:val="24"/>
          <w:szCs w:val="24"/>
        </w:rPr>
        <w:t xml:space="preserve"> </w:t>
      </w:r>
      <w:r w:rsidR="003C6F8E">
        <w:rPr>
          <w:rFonts w:asciiTheme="minorHAnsi" w:hAnsiTheme="minorHAnsi" w:cstheme="minorHAnsi"/>
          <w:i w:val="0"/>
          <w:iCs w:val="0"/>
          <w:color w:val="333333"/>
          <w:w w:val="105"/>
          <w:sz w:val="24"/>
          <w:szCs w:val="24"/>
        </w:rPr>
        <w:t>“</w:t>
      </w:r>
      <w:r w:rsidRPr="00D90EDD">
        <w:rPr>
          <w:rFonts w:asciiTheme="minorHAnsi" w:hAnsiTheme="minorHAnsi" w:cstheme="minorHAnsi"/>
          <w:i w:val="0"/>
          <w:iCs w:val="0"/>
          <w:color w:val="333333"/>
          <w:w w:val="105"/>
          <w:sz w:val="24"/>
          <w:szCs w:val="24"/>
        </w:rPr>
        <w:t>It is my will that Robin, my negro, be set free, and receive of my estate a bed and 5£ in money</w:t>
      </w:r>
      <w:r w:rsidR="003C6F8E">
        <w:rPr>
          <w:rFonts w:asciiTheme="minorHAnsi" w:hAnsiTheme="minorHAnsi" w:cstheme="minorHAnsi"/>
          <w:i w:val="0"/>
          <w:iCs w:val="0"/>
          <w:color w:val="333333"/>
          <w:w w:val="105"/>
          <w:sz w:val="24"/>
          <w:szCs w:val="24"/>
        </w:rPr>
        <w:t>”</w:t>
      </w:r>
      <w:r w:rsidRPr="00D90EDD">
        <w:rPr>
          <w:rFonts w:asciiTheme="minorHAnsi" w:hAnsiTheme="minorHAnsi" w:cstheme="minorHAnsi"/>
          <w:i w:val="0"/>
          <w:iCs w:val="0"/>
          <w:color w:val="333333"/>
          <w:w w:val="105"/>
          <w:sz w:val="24"/>
          <w:szCs w:val="24"/>
        </w:rPr>
        <w:t xml:space="preserve"> — Elder Thomas King (1613-1691)</w:t>
      </w:r>
      <w:r>
        <w:rPr>
          <w:rFonts w:asciiTheme="minorHAnsi" w:hAnsiTheme="minorHAnsi" w:cstheme="minorHAnsi"/>
          <w:i w:val="0"/>
          <w:iCs w:val="0"/>
          <w:color w:val="333333"/>
          <w:w w:val="105"/>
          <w:sz w:val="24"/>
          <w:szCs w:val="24"/>
        </w:rPr>
        <w:t>.</w:t>
      </w:r>
      <w:r w:rsidRPr="00D90EDD">
        <w:rPr>
          <w:rStyle w:val="FootnoteReference"/>
          <w:rFonts w:asciiTheme="minorHAnsi" w:hAnsiTheme="minorHAnsi" w:cstheme="minorHAnsi"/>
          <w:color w:val="333333"/>
          <w:w w:val="105"/>
          <w:sz w:val="24"/>
          <w:szCs w:val="24"/>
        </w:rPr>
        <w:footnoteReference w:id="9"/>
      </w:r>
      <w:r w:rsidRPr="00D90EDD">
        <w:rPr>
          <w:rFonts w:asciiTheme="minorHAnsi" w:hAnsiTheme="minorHAnsi" w:cstheme="minorHAnsi"/>
          <w:i w:val="0"/>
          <w:iCs w:val="0"/>
          <w:color w:val="333333"/>
          <w:w w:val="105"/>
          <w:sz w:val="24"/>
          <w:szCs w:val="24"/>
        </w:rPr>
        <w:t xml:space="preserve"> </w:t>
      </w:r>
      <w:r w:rsidRPr="00D90EDD">
        <w:rPr>
          <w:rFonts w:asciiTheme="minorHAnsi" w:hAnsiTheme="minorHAnsi" w:cstheme="minorHAnsi"/>
          <w:i w:val="0"/>
          <w:iCs w:val="0"/>
          <w:color w:val="333333"/>
          <w:sz w:val="24"/>
          <w:szCs w:val="24"/>
        </w:rPr>
        <w:t xml:space="preserve">Elder Thomas King was born in </w:t>
      </w:r>
      <w:r w:rsidRPr="00D90EDD">
        <w:rPr>
          <w:rStyle w:val="factitemlocation"/>
          <w:rFonts w:asciiTheme="minorHAnsi" w:hAnsiTheme="minorHAnsi" w:cstheme="minorHAnsi"/>
          <w:i w:val="0"/>
          <w:iCs w:val="0"/>
          <w:color w:val="181A1C"/>
          <w:sz w:val="24"/>
          <w:szCs w:val="24"/>
        </w:rPr>
        <w:t xml:space="preserve">Harwich, Tendring District, Essex, England </w:t>
      </w:r>
      <w:r w:rsidRPr="00D90EDD">
        <w:rPr>
          <w:rFonts w:asciiTheme="minorHAnsi" w:hAnsiTheme="minorHAnsi" w:cstheme="minorHAnsi"/>
          <w:i w:val="0"/>
          <w:iCs w:val="0"/>
          <w:color w:val="333333"/>
          <w:sz w:val="24"/>
          <w:szCs w:val="24"/>
        </w:rPr>
        <w:t>in 161</w:t>
      </w:r>
      <w:r>
        <w:rPr>
          <w:rFonts w:asciiTheme="minorHAnsi" w:hAnsiTheme="minorHAnsi" w:cstheme="minorHAnsi"/>
          <w:i w:val="0"/>
          <w:iCs w:val="0"/>
          <w:color w:val="333333"/>
          <w:sz w:val="24"/>
          <w:szCs w:val="24"/>
        </w:rPr>
        <w:t>3</w:t>
      </w:r>
      <w:r w:rsidRPr="00D90EDD">
        <w:rPr>
          <w:rFonts w:asciiTheme="minorHAnsi" w:hAnsiTheme="minorHAnsi" w:cstheme="minorHAnsi"/>
          <w:i w:val="0"/>
          <w:iCs w:val="0"/>
          <w:color w:val="333333"/>
          <w:sz w:val="24"/>
          <w:szCs w:val="24"/>
        </w:rPr>
        <w:t xml:space="preserve">, and came to </w:t>
      </w:r>
      <w:r>
        <w:rPr>
          <w:rFonts w:asciiTheme="minorHAnsi" w:hAnsiTheme="minorHAnsi" w:cstheme="minorHAnsi"/>
          <w:i w:val="0"/>
          <w:iCs w:val="0"/>
          <w:color w:val="333333"/>
          <w:sz w:val="24"/>
          <w:szCs w:val="24"/>
        </w:rPr>
        <w:t>North America</w:t>
      </w:r>
      <w:r w:rsidRPr="00D90EDD">
        <w:rPr>
          <w:rFonts w:asciiTheme="minorHAnsi" w:hAnsiTheme="minorHAnsi" w:cstheme="minorHAnsi"/>
          <w:i w:val="0"/>
          <w:iCs w:val="0"/>
          <w:color w:val="333333"/>
          <w:sz w:val="24"/>
          <w:szCs w:val="24"/>
        </w:rPr>
        <w:t xml:space="preserve"> in the ship </w:t>
      </w:r>
      <w:r w:rsidR="003C6F8E">
        <w:rPr>
          <w:rFonts w:asciiTheme="minorHAnsi" w:hAnsiTheme="minorHAnsi" w:cstheme="minorHAnsi"/>
          <w:i w:val="0"/>
          <w:iCs w:val="0"/>
          <w:color w:val="333333"/>
          <w:sz w:val="24"/>
          <w:szCs w:val="24"/>
        </w:rPr>
        <w:t>“</w:t>
      </w:r>
      <w:r w:rsidRPr="00D90EDD">
        <w:rPr>
          <w:rFonts w:asciiTheme="minorHAnsi" w:hAnsiTheme="minorHAnsi" w:cstheme="minorHAnsi"/>
          <w:i w:val="0"/>
          <w:iCs w:val="0"/>
          <w:color w:val="333333"/>
          <w:sz w:val="24"/>
          <w:szCs w:val="24"/>
        </w:rPr>
        <w:t>Blessing</w:t>
      </w:r>
      <w:r w:rsidR="003C6F8E">
        <w:rPr>
          <w:rFonts w:asciiTheme="minorHAnsi" w:hAnsiTheme="minorHAnsi" w:cstheme="minorHAnsi"/>
          <w:i w:val="0"/>
          <w:iCs w:val="0"/>
          <w:color w:val="333333"/>
          <w:sz w:val="24"/>
          <w:szCs w:val="24"/>
        </w:rPr>
        <w:t>”</w:t>
      </w:r>
      <w:r w:rsidRPr="00D90EDD">
        <w:rPr>
          <w:rFonts w:asciiTheme="minorHAnsi" w:hAnsiTheme="minorHAnsi" w:cstheme="minorHAnsi"/>
          <w:i w:val="0"/>
          <w:iCs w:val="0"/>
          <w:color w:val="333333"/>
          <w:sz w:val="24"/>
          <w:szCs w:val="24"/>
        </w:rPr>
        <w:t xml:space="preserve"> in 1635</w:t>
      </w:r>
      <w:r>
        <w:rPr>
          <w:rFonts w:asciiTheme="minorHAnsi" w:hAnsiTheme="minorHAnsi" w:cstheme="minorHAnsi"/>
          <w:i w:val="0"/>
          <w:iCs w:val="0"/>
          <w:color w:val="333333"/>
          <w:sz w:val="24"/>
          <w:szCs w:val="24"/>
        </w:rPr>
        <w:t xml:space="preserve"> as part of what has been called </w:t>
      </w:r>
      <w:r w:rsidR="003C6F8E">
        <w:rPr>
          <w:rFonts w:asciiTheme="minorHAnsi" w:hAnsiTheme="minorHAnsi" w:cstheme="minorHAnsi"/>
          <w:i w:val="0"/>
          <w:iCs w:val="0"/>
          <w:color w:val="333333"/>
          <w:sz w:val="24"/>
          <w:szCs w:val="24"/>
        </w:rPr>
        <w:t>“</w:t>
      </w:r>
      <w:r>
        <w:rPr>
          <w:rFonts w:asciiTheme="minorHAnsi" w:hAnsiTheme="minorHAnsi" w:cstheme="minorHAnsi"/>
          <w:i w:val="0"/>
          <w:iCs w:val="0"/>
          <w:color w:val="333333"/>
          <w:sz w:val="24"/>
          <w:szCs w:val="24"/>
        </w:rPr>
        <w:t>The Great Migration</w:t>
      </w:r>
      <w:r w:rsidRPr="00D90EDD">
        <w:rPr>
          <w:rFonts w:asciiTheme="minorHAnsi" w:hAnsiTheme="minorHAnsi" w:cstheme="minorHAnsi"/>
          <w:i w:val="0"/>
          <w:iCs w:val="0"/>
          <w:color w:val="333333"/>
          <w:sz w:val="24"/>
          <w:szCs w:val="24"/>
        </w:rPr>
        <w:t>.</w:t>
      </w:r>
      <w:r w:rsidR="003C6F8E">
        <w:rPr>
          <w:rFonts w:asciiTheme="minorHAnsi" w:hAnsiTheme="minorHAnsi" w:cstheme="minorHAnsi"/>
          <w:i w:val="0"/>
          <w:iCs w:val="0"/>
          <w:color w:val="333333"/>
          <w:sz w:val="24"/>
          <w:szCs w:val="24"/>
        </w:rPr>
        <w:t>”</w:t>
      </w:r>
      <w:r>
        <w:rPr>
          <w:rStyle w:val="FootnoteReference"/>
          <w:rFonts w:asciiTheme="minorHAnsi" w:hAnsiTheme="minorHAnsi" w:cstheme="minorHAnsi"/>
          <w:color w:val="333333"/>
          <w:sz w:val="24"/>
          <w:szCs w:val="24"/>
        </w:rPr>
        <w:footnoteReference w:id="10"/>
      </w:r>
      <w:r>
        <w:rPr>
          <w:rFonts w:asciiTheme="minorHAnsi" w:hAnsiTheme="minorHAnsi" w:cstheme="minorHAnsi"/>
          <w:i w:val="0"/>
          <w:iCs w:val="0"/>
          <w:color w:val="333333"/>
          <w:sz w:val="24"/>
          <w:szCs w:val="24"/>
        </w:rPr>
        <w:t xml:space="preserve"> He settled in Scituate, Plymouth Colony. Elder Thomas King was the 4</w:t>
      </w:r>
      <w:r w:rsidRPr="00120199">
        <w:rPr>
          <w:rFonts w:asciiTheme="minorHAnsi" w:hAnsiTheme="minorHAnsi" w:cstheme="minorHAnsi"/>
          <w:i w:val="0"/>
          <w:iCs w:val="0"/>
          <w:color w:val="333333"/>
          <w:sz w:val="24"/>
          <w:szCs w:val="24"/>
          <w:vertAlign w:val="superscript"/>
        </w:rPr>
        <w:t>th</w:t>
      </w:r>
      <w:r>
        <w:rPr>
          <w:rFonts w:asciiTheme="minorHAnsi" w:hAnsiTheme="minorHAnsi" w:cstheme="minorHAnsi"/>
          <w:i w:val="0"/>
          <w:iCs w:val="0"/>
          <w:color w:val="333333"/>
          <w:sz w:val="24"/>
          <w:szCs w:val="24"/>
        </w:rPr>
        <w:t xml:space="preserve"> great-grandfather of Geneva</w:t>
      </w:r>
      <w:r w:rsidR="003C6F8E">
        <w:rPr>
          <w:rFonts w:asciiTheme="minorHAnsi" w:hAnsiTheme="minorHAnsi" w:cstheme="minorHAnsi"/>
          <w:i w:val="0"/>
          <w:iCs w:val="0"/>
          <w:color w:val="333333"/>
          <w:sz w:val="24"/>
          <w:szCs w:val="24"/>
        </w:rPr>
        <w:t>’</w:t>
      </w:r>
      <w:r>
        <w:rPr>
          <w:rFonts w:asciiTheme="minorHAnsi" w:hAnsiTheme="minorHAnsi" w:cstheme="minorHAnsi"/>
          <w:i w:val="0"/>
          <w:iCs w:val="0"/>
          <w:color w:val="333333"/>
          <w:sz w:val="24"/>
          <w:szCs w:val="24"/>
        </w:rPr>
        <w:t>s John King.</w:t>
      </w:r>
    </w:p>
    <w:p w14:paraId="5C13E088" w14:textId="61480691" w:rsidR="00163562" w:rsidRDefault="00163562" w:rsidP="00163562">
      <w:pPr>
        <w:pStyle w:val="BodyText"/>
        <w:kinsoku w:val="0"/>
        <w:overflowPunct w:val="0"/>
        <w:spacing w:after="120" w:line="240" w:lineRule="auto"/>
        <w:ind w:left="0"/>
        <w:rPr>
          <w:rFonts w:asciiTheme="minorHAnsi" w:hAnsiTheme="minorHAnsi" w:cstheme="minorHAnsi"/>
          <w:color w:val="000000"/>
          <w:sz w:val="24"/>
          <w:szCs w:val="24"/>
        </w:rPr>
      </w:pPr>
      <w:r>
        <w:rPr>
          <w:rFonts w:asciiTheme="minorHAnsi" w:hAnsiTheme="minorHAnsi" w:cstheme="minorHAnsi"/>
          <w:color w:val="000000"/>
          <w:sz w:val="24"/>
          <w:szCs w:val="24"/>
        </w:rPr>
        <w:t>Geneva</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s John King was the son of the John King</w:t>
      </w:r>
      <w:r w:rsidR="007F4C84">
        <w:rPr>
          <w:rFonts w:asciiTheme="minorHAnsi" w:hAnsiTheme="minorHAnsi" w:cstheme="minorHAnsi"/>
          <w:color w:val="000000"/>
          <w:sz w:val="24"/>
          <w:szCs w:val="24"/>
        </w:rPr>
        <w:t>,</w:t>
      </w:r>
      <w:r>
        <w:rPr>
          <w:rFonts w:asciiTheme="minorHAnsi" w:hAnsiTheme="minorHAnsi" w:cstheme="minorHAnsi"/>
          <w:color w:val="000000"/>
          <w:sz w:val="24"/>
          <w:szCs w:val="24"/>
        </w:rPr>
        <w:t xml:space="preserve"> born on 28 Sept</w:t>
      </w:r>
      <w:r w:rsidR="00D1657F">
        <w:rPr>
          <w:rFonts w:asciiTheme="minorHAnsi" w:hAnsiTheme="minorHAnsi" w:cstheme="minorHAnsi"/>
          <w:color w:val="000000"/>
          <w:sz w:val="24"/>
          <w:szCs w:val="24"/>
        </w:rPr>
        <w:t>ember</w:t>
      </w:r>
      <w:r>
        <w:rPr>
          <w:rFonts w:asciiTheme="minorHAnsi" w:hAnsiTheme="minorHAnsi" w:cstheme="minorHAnsi"/>
          <w:color w:val="000000"/>
          <w:sz w:val="24"/>
          <w:szCs w:val="24"/>
        </w:rPr>
        <w:t xml:space="preserve"> 1780 in Abington, MA, about 6 miles SE of Randolph, MA, and 12 miles ESE of Scituate. Randolph is where Geneva</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s John was born on 26 October 1816. John of Abington was also the son </w:t>
      </w:r>
      <w:r w:rsidR="007F4C84">
        <w:rPr>
          <w:rFonts w:asciiTheme="minorHAnsi" w:hAnsiTheme="minorHAnsi" w:cstheme="minorHAnsi"/>
          <w:color w:val="000000"/>
          <w:sz w:val="24"/>
          <w:szCs w:val="24"/>
        </w:rPr>
        <w:t>of</w:t>
      </w:r>
      <w:r>
        <w:rPr>
          <w:rFonts w:asciiTheme="minorHAnsi" w:hAnsiTheme="minorHAnsi" w:cstheme="minorHAnsi"/>
          <w:color w:val="000000"/>
          <w:sz w:val="24"/>
          <w:szCs w:val="24"/>
        </w:rPr>
        <w:t xml:space="preserve"> John King. Grandfather John King, the son of </w:t>
      </w:r>
      <w:r w:rsidRPr="006A5C1F">
        <w:rPr>
          <w:rFonts w:asciiTheme="minorHAnsi" w:hAnsiTheme="minorHAnsi" w:cstheme="minorHAnsi"/>
          <w:color w:val="000000"/>
          <w:sz w:val="24"/>
          <w:szCs w:val="24"/>
        </w:rPr>
        <w:t>Benjamin King (1710-1785), was born on in Hingham, MA</w:t>
      </w:r>
      <w:r>
        <w:rPr>
          <w:rFonts w:asciiTheme="minorHAnsi" w:hAnsiTheme="minorHAnsi" w:cstheme="minorHAnsi"/>
          <w:color w:val="000000"/>
          <w:sz w:val="24"/>
          <w:szCs w:val="24"/>
        </w:rPr>
        <w:t>,</w:t>
      </w:r>
      <w:r w:rsidRPr="006A5C1F">
        <w:rPr>
          <w:rFonts w:asciiTheme="minorHAnsi" w:hAnsiTheme="minorHAnsi" w:cstheme="minorHAnsi"/>
          <w:color w:val="000000"/>
          <w:sz w:val="24"/>
          <w:szCs w:val="24"/>
        </w:rPr>
        <w:t xml:space="preserve"> on 9 Aug</w:t>
      </w:r>
      <w:r w:rsidR="00D1657F">
        <w:rPr>
          <w:rFonts w:asciiTheme="minorHAnsi" w:hAnsiTheme="minorHAnsi" w:cstheme="minorHAnsi"/>
          <w:color w:val="000000"/>
          <w:sz w:val="24"/>
          <w:szCs w:val="24"/>
        </w:rPr>
        <w:t>ust</w:t>
      </w:r>
      <w:r w:rsidRPr="006A5C1F">
        <w:rPr>
          <w:rFonts w:asciiTheme="minorHAnsi" w:hAnsiTheme="minorHAnsi" w:cstheme="minorHAnsi"/>
          <w:color w:val="000000"/>
          <w:sz w:val="24"/>
          <w:szCs w:val="24"/>
        </w:rPr>
        <w:t xml:space="preserve"> 1750</w:t>
      </w:r>
      <w:r>
        <w:rPr>
          <w:rFonts w:asciiTheme="minorHAnsi" w:hAnsiTheme="minorHAnsi" w:cstheme="minorHAnsi"/>
          <w:color w:val="000000"/>
          <w:sz w:val="24"/>
          <w:szCs w:val="24"/>
        </w:rPr>
        <w:t>,</w:t>
      </w:r>
      <w:r w:rsidRPr="006A5C1F">
        <w:rPr>
          <w:rFonts w:asciiTheme="minorHAnsi" w:hAnsiTheme="minorHAnsi" w:cstheme="minorHAnsi"/>
          <w:color w:val="000000"/>
          <w:sz w:val="24"/>
          <w:szCs w:val="24"/>
        </w:rPr>
        <w:t xml:space="preserve"> about </w:t>
      </w:r>
      <w:r>
        <w:rPr>
          <w:rFonts w:asciiTheme="minorHAnsi" w:hAnsiTheme="minorHAnsi" w:cstheme="minorHAnsi"/>
          <w:color w:val="000000"/>
          <w:sz w:val="24"/>
          <w:szCs w:val="24"/>
        </w:rPr>
        <w:t>10</w:t>
      </w:r>
      <w:r w:rsidRPr="006A5C1F">
        <w:rPr>
          <w:rFonts w:asciiTheme="minorHAnsi" w:hAnsiTheme="minorHAnsi" w:cstheme="minorHAnsi"/>
          <w:color w:val="000000"/>
          <w:sz w:val="24"/>
          <w:szCs w:val="24"/>
        </w:rPr>
        <w:t xml:space="preserve"> miles northeast of Randolph. </w:t>
      </w:r>
    </w:p>
    <w:p w14:paraId="01999F85" w14:textId="1F5913B4" w:rsidR="00163562" w:rsidRDefault="00163562" w:rsidP="00163562">
      <w:pPr>
        <w:pStyle w:val="BodyText"/>
        <w:kinsoku w:val="0"/>
        <w:overflowPunct w:val="0"/>
        <w:spacing w:after="120" w:line="240" w:lineRule="auto"/>
        <w:ind w:left="0"/>
        <w:rPr>
          <w:rFonts w:asciiTheme="minorHAnsi" w:hAnsiTheme="minorHAnsi" w:cstheme="minorHAnsi"/>
          <w:color w:val="000000"/>
          <w:sz w:val="24"/>
          <w:szCs w:val="24"/>
        </w:rPr>
      </w:pPr>
      <w:r>
        <w:rPr>
          <w:rFonts w:asciiTheme="minorHAnsi" w:hAnsiTheme="minorHAnsi" w:cstheme="minorHAnsi"/>
          <w:color w:val="000000"/>
          <w:sz w:val="24"/>
          <w:szCs w:val="24"/>
        </w:rPr>
        <w:t xml:space="preserve">Grandfather John King </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resided at Abington and was a wealthy and prominent citizen.</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 His father, Benjamin of Hingham MA, was a currier (leather finisher) and town constable who built the home at 48 School Street in the town that once was a shoe and boot manufacturing center.</w:t>
      </w:r>
      <w:r>
        <w:rPr>
          <w:rStyle w:val="FootnoteReference"/>
          <w:rFonts w:asciiTheme="minorHAnsi" w:hAnsiTheme="minorHAnsi" w:cstheme="minorHAnsi"/>
          <w:color w:val="000000"/>
          <w:sz w:val="24"/>
          <w:szCs w:val="24"/>
        </w:rPr>
        <w:footnoteReference w:id="11"/>
      </w:r>
      <w:r>
        <w:rPr>
          <w:rFonts w:asciiTheme="minorHAnsi" w:hAnsiTheme="minorHAnsi" w:cstheme="minorHAnsi"/>
          <w:color w:val="000000"/>
          <w:sz w:val="24"/>
          <w:szCs w:val="24"/>
        </w:rPr>
        <w:t xml:space="preserve"> Benjamin</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s 1752 Cape Cod home still stands (as restored and expanded by a King descendent) and was featured on TV</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s </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This Old House</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 in 2012.</w:t>
      </w:r>
      <w:r>
        <w:rPr>
          <w:rStyle w:val="FootnoteReference"/>
          <w:rFonts w:asciiTheme="minorHAnsi" w:hAnsiTheme="minorHAnsi" w:cstheme="minorHAnsi"/>
          <w:color w:val="000000"/>
          <w:sz w:val="24"/>
          <w:szCs w:val="24"/>
        </w:rPr>
        <w:footnoteReference w:id="12"/>
      </w:r>
    </w:p>
    <w:p w14:paraId="1BBB881C" w14:textId="3979D8AA" w:rsidR="00163562" w:rsidRPr="006A5C1F" w:rsidRDefault="00163562" w:rsidP="00163562">
      <w:pPr>
        <w:pStyle w:val="BodyText"/>
        <w:kinsoku w:val="0"/>
        <w:overflowPunct w:val="0"/>
        <w:spacing w:after="120" w:line="240" w:lineRule="auto"/>
        <w:ind w:left="0"/>
        <w:rPr>
          <w:rFonts w:asciiTheme="minorHAnsi" w:hAnsiTheme="minorHAnsi" w:cstheme="minorHAnsi"/>
          <w:color w:val="000000"/>
          <w:sz w:val="24"/>
          <w:szCs w:val="24"/>
        </w:rPr>
      </w:pPr>
      <w:r w:rsidRPr="006A5C1F">
        <w:rPr>
          <w:rFonts w:asciiTheme="minorHAnsi" w:hAnsiTheme="minorHAnsi" w:cstheme="minorHAnsi"/>
          <w:color w:val="000000"/>
          <w:sz w:val="24"/>
          <w:szCs w:val="24"/>
        </w:rPr>
        <w:t>Most of the</w:t>
      </w:r>
      <w:r>
        <w:rPr>
          <w:rFonts w:asciiTheme="minorHAnsi" w:hAnsiTheme="minorHAnsi" w:cstheme="minorHAnsi"/>
          <w:color w:val="000000"/>
          <w:sz w:val="24"/>
          <w:szCs w:val="24"/>
        </w:rPr>
        <w:t xml:space="preserve"> New England</w:t>
      </w:r>
      <w:r w:rsidRPr="006A5C1F">
        <w:rPr>
          <w:rFonts w:asciiTheme="minorHAnsi" w:hAnsiTheme="minorHAnsi" w:cstheme="minorHAnsi"/>
          <w:color w:val="000000"/>
          <w:sz w:val="24"/>
          <w:szCs w:val="24"/>
        </w:rPr>
        <w:t xml:space="preserve"> population, including the King clan of </w:t>
      </w:r>
      <w:r>
        <w:rPr>
          <w:rFonts w:asciiTheme="minorHAnsi" w:hAnsiTheme="minorHAnsi" w:cstheme="minorHAnsi"/>
          <w:color w:val="000000"/>
          <w:sz w:val="24"/>
          <w:szCs w:val="24"/>
        </w:rPr>
        <w:t>Massachusetts</w:t>
      </w:r>
      <w:r w:rsidRPr="006A5C1F">
        <w:rPr>
          <w:rFonts w:asciiTheme="minorHAnsi" w:hAnsiTheme="minorHAnsi" w:cstheme="minorHAnsi"/>
          <w:color w:val="000000"/>
          <w:sz w:val="24"/>
          <w:szCs w:val="24"/>
        </w:rPr>
        <w:t>, remained clustered near the coast</w:t>
      </w:r>
      <w:r>
        <w:rPr>
          <w:rFonts w:asciiTheme="minorHAnsi" w:hAnsiTheme="minorHAnsi" w:cstheme="minorHAnsi"/>
          <w:color w:val="000000"/>
          <w:sz w:val="24"/>
          <w:szCs w:val="24"/>
        </w:rPr>
        <w:t xml:space="preserve"> for almost two centuries</w:t>
      </w:r>
      <w:r w:rsidRPr="006A5C1F">
        <w:rPr>
          <w:rFonts w:asciiTheme="minorHAnsi" w:hAnsiTheme="minorHAnsi" w:cstheme="minorHAnsi"/>
          <w:color w:val="000000"/>
          <w:sz w:val="24"/>
          <w:szCs w:val="24"/>
        </w:rPr>
        <w:t>.</w:t>
      </w:r>
      <w:r>
        <w:rPr>
          <w:rStyle w:val="FootnoteReference"/>
          <w:rFonts w:asciiTheme="minorHAnsi" w:hAnsiTheme="minorHAnsi" w:cstheme="minorHAnsi"/>
          <w:color w:val="000000"/>
          <w:sz w:val="24"/>
          <w:szCs w:val="24"/>
        </w:rPr>
        <w:footnoteReference w:id="13"/>
      </w:r>
      <w:r w:rsidRPr="006A5C1F">
        <w:rPr>
          <w:rFonts w:asciiTheme="minorHAnsi" w:hAnsiTheme="minorHAnsi" w:cstheme="minorHAnsi"/>
          <w:color w:val="000000"/>
          <w:sz w:val="24"/>
          <w:szCs w:val="24"/>
        </w:rPr>
        <w:t xml:space="preserve"> Grandfather John King was affluent enough </w:t>
      </w:r>
      <w:r w:rsidRPr="006A5C1F">
        <w:rPr>
          <w:rFonts w:asciiTheme="minorHAnsi" w:hAnsiTheme="minorHAnsi" w:cstheme="minorHAnsi"/>
          <w:color w:val="000000"/>
          <w:sz w:val="24"/>
          <w:szCs w:val="24"/>
        </w:rPr>
        <w:lastRenderedPageBreak/>
        <w:t>to possess a Simon Willard clock dating to 1781, which Geneva</w:t>
      </w:r>
      <w:r w:rsidR="003C6F8E">
        <w:rPr>
          <w:rFonts w:asciiTheme="minorHAnsi" w:hAnsiTheme="minorHAnsi" w:cstheme="minorHAnsi"/>
          <w:color w:val="000000"/>
          <w:sz w:val="24"/>
          <w:szCs w:val="24"/>
        </w:rPr>
        <w:t>’</w:t>
      </w:r>
      <w:r w:rsidRPr="006A5C1F">
        <w:rPr>
          <w:rFonts w:asciiTheme="minorHAnsi" w:hAnsiTheme="minorHAnsi" w:cstheme="minorHAnsi"/>
          <w:color w:val="000000"/>
          <w:sz w:val="24"/>
          <w:szCs w:val="24"/>
        </w:rPr>
        <w:t>s John King, in turn, passed down to his son, Lincoln King.</w:t>
      </w:r>
      <w:r w:rsidRPr="006A5C1F">
        <w:rPr>
          <w:rStyle w:val="FootnoteReference"/>
          <w:rFonts w:asciiTheme="minorHAnsi" w:hAnsiTheme="minorHAnsi" w:cstheme="minorHAnsi"/>
          <w:color w:val="000000"/>
          <w:sz w:val="24"/>
          <w:szCs w:val="24"/>
        </w:rPr>
        <w:footnoteReference w:id="14"/>
      </w:r>
    </w:p>
    <w:p w14:paraId="046162EE" w14:textId="30483B62" w:rsidR="00163562" w:rsidRDefault="00163562" w:rsidP="00163562">
      <w:pPr>
        <w:pStyle w:val="BodyText"/>
        <w:kinsoku w:val="0"/>
        <w:overflowPunct w:val="0"/>
        <w:spacing w:after="120" w:line="240" w:lineRule="auto"/>
        <w:ind w:left="0"/>
        <w:rPr>
          <w:rFonts w:asciiTheme="minorHAnsi" w:hAnsiTheme="minorHAnsi" w:cstheme="minorHAnsi"/>
          <w:color w:val="000000"/>
          <w:sz w:val="24"/>
          <w:szCs w:val="24"/>
        </w:rPr>
      </w:pPr>
      <w:r w:rsidRPr="006A5C1F">
        <w:rPr>
          <w:rFonts w:asciiTheme="minorHAnsi" w:hAnsiTheme="minorHAnsi" w:cstheme="minorHAnsi"/>
          <w:color w:val="000000"/>
          <w:sz w:val="24"/>
          <w:szCs w:val="24"/>
        </w:rPr>
        <w:t>Both John King</w:t>
      </w:r>
      <w:r w:rsidR="003C6F8E">
        <w:rPr>
          <w:rFonts w:asciiTheme="minorHAnsi" w:hAnsiTheme="minorHAnsi" w:cstheme="minorHAnsi"/>
          <w:color w:val="000000"/>
          <w:sz w:val="24"/>
          <w:szCs w:val="24"/>
        </w:rPr>
        <w:t>’</w:t>
      </w:r>
      <w:r w:rsidRPr="006A5C1F">
        <w:rPr>
          <w:rFonts w:asciiTheme="minorHAnsi" w:hAnsiTheme="minorHAnsi" w:cstheme="minorHAnsi"/>
          <w:color w:val="000000"/>
          <w:sz w:val="24"/>
          <w:szCs w:val="24"/>
        </w:rPr>
        <w:t xml:space="preserve">s father John and his grandfather John of Abington were members of </w:t>
      </w:r>
      <w:r w:rsidRPr="006A5C1F">
        <w:rPr>
          <w:rFonts w:asciiTheme="minorHAnsi" w:hAnsiTheme="minorHAnsi" w:cstheme="minorHAnsi"/>
          <w:i/>
          <w:iCs/>
          <w:sz w:val="24"/>
          <w:szCs w:val="24"/>
        </w:rPr>
        <w:t>The Humane Society of the Commonwealth of Massachusetts</w:t>
      </w:r>
      <w:r>
        <w:rPr>
          <w:rFonts w:asciiTheme="minorHAnsi" w:hAnsiTheme="minorHAnsi" w:cstheme="minorHAnsi"/>
          <w:i/>
          <w:iCs/>
          <w:sz w:val="24"/>
          <w:szCs w:val="24"/>
        </w:rPr>
        <w:t>.</w:t>
      </w:r>
      <w:r w:rsidRPr="006A5C1F">
        <w:rPr>
          <w:rStyle w:val="FootnoteReference"/>
          <w:rFonts w:asciiTheme="minorHAnsi" w:hAnsiTheme="minorHAnsi" w:cstheme="minorHAnsi"/>
          <w:color w:val="000000"/>
          <w:sz w:val="24"/>
          <w:szCs w:val="24"/>
        </w:rPr>
        <w:footnoteReference w:id="15"/>
      </w:r>
      <w:r>
        <w:rPr>
          <w:rFonts w:asciiTheme="minorHAnsi" w:hAnsiTheme="minorHAnsi" w:cstheme="minorHAnsi"/>
          <w:color w:val="000000"/>
          <w:sz w:val="24"/>
          <w:szCs w:val="24"/>
        </w:rPr>
        <w:t xml:space="preserve"> John King</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s father was an attorney and an 1802 graduate of Harvard</w:t>
      </w:r>
      <w:r>
        <w:rPr>
          <w:rStyle w:val="FootnoteReference"/>
          <w:rFonts w:asciiTheme="minorHAnsi" w:hAnsiTheme="minorHAnsi" w:cstheme="minorHAnsi"/>
          <w:color w:val="000000"/>
          <w:sz w:val="24"/>
          <w:szCs w:val="24"/>
        </w:rPr>
        <w:footnoteReference w:id="16"/>
      </w:r>
      <w:r>
        <w:rPr>
          <w:rFonts w:asciiTheme="minorHAnsi" w:hAnsiTheme="minorHAnsi" w:cstheme="minorHAnsi"/>
          <w:color w:val="000000"/>
          <w:sz w:val="24"/>
          <w:szCs w:val="24"/>
        </w:rPr>
        <w:t xml:space="preserve"> </w:t>
      </w:r>
      <w:r w:rsidR="00302086">
        <w:rPr>
          <w:rFonts w:asciiTheme="minorHAnsi" w:hAnsiTheme="minorHAnsi" w:cstheme="minorHAnsi"/>
          <w:color w:val="000000"/>
          <w:sz w:val="24"/>
          <w:szCs w:val="24"/>
        </w:rPr>
        <w:t>and</w:t>
      </w:r>
      <w:r>
        <w:rPr>
          <w:rFonts w:asciiTheme="minorHAnsi" w:hAnsiTheme="minorHAnsi" w:cstheme="minorHAnsi"/>
          <w:color w:val="000000"/>
          <w:sz w:val="24"/>
          <w:szCs w:val="24"/>
        </w:rPr>
        <w:t xml:space="preserve"> was a member of the exclusive </w:t>
      </w:r>
      <w:proofErr w:type="spellStart"/>
      <w:r>
        <w:rPr>
          <w:rFonts w:asciiTheme="minorHAnsi" w:hAnsiTheme="minorHAnsi" w:cstheme="minorHAnsi"/>
          <w:color w:val="000000"/>
          <w:sz w:val="24"/>
          <w:szCs w:val="24"/>
        </w:rPr>
        <w:t>Porcellian</w:t>
      </w:r>
      <w:proofErr w:type="spellEnd"/>
      <w:r>
        <w:rPr>
          <w:rFonts w:asciiTheme="minorHAnsi" w:hAnsiTheme="minorHAnsi" w:cstheme="minorHAnsi"/>
          <w:color w:val="000000"/>
          <w:sz w:val="24"/>
          <w:szCs w:val="24"/>
        </w:rPr>
        <w:t xml:space="preserve"> Club. King was admitted to the club in 1800 as a sophomore, as was the custom. The most elite of the Harvard </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final</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 clubs added eighteen members in 1800. One was honorary — Thomas Paine, Signer of the Declaration of Independence.</w:t>
      </w:r>
      <w:r>
        <w:rPr>
          <w:rStyle w:val="FootnoteReference"/>
          <w:rFonts w:asciiTheme="minorHAnsi" w:hAnsiTheme="minorHAnsi" w:cstheme="minorHAnsi"/>
          <w:color w:val="000000"/>
          <w:sz w:val="24"/>
          <w:szCs w:val="24"/>
        </w:rPr>
        <w:footnoteReference w:id="17"/>
      </w:r>
      <w:r w:rsidRPr="00702A1A">
        <w:rPr>
          <w:rFonts w:asciiTheme="minorHAnsi" w:hAnsiTheme="minorHAnsi" w:cstheme="minorHAnsi"/>
          <w:color w:val="000000"/>
          <w:sz w:val="24"/>
          <w:szCs w:val="24"/>
        </w:rPr>
        <w:t xml:space="preserve"> John King</w:t>
      </w:r>
      <w:r>
        <w:rPr>
          <w:rFonts w:asciiTheme="minorHAnsi" w:hAnsiTheme="minorHAnsi" w:cstheme="minorHAnsi"/>
          <w:color w:val="000000"/>
          <w:sz w:val="24"/>
          <w:szCs w:val="24"/>
        </w:rPr>
        <w:t>, Esq.</w:t>
      </w:r>
      <w:r w:rsidRPr="00702A1A">
        <w:rPr>
          <w:rFonts w:asciiTheme="minorHAnsi" w:hAnsiTheme="minorHAnsi" w:cstheme="minorHAnsi"/>
          <w:color w:val="000000"/>
          <w:sz w:val="24"/>
          <w:szCs w:val="24"/>
        </w:rPr>
        <w:t xml:space="preserve"> was admitted to the Massachusetts Supreme Court in 1811.</w:t>
      </w:r>
      <w:r>
        <w:rPr>
          <w:rStyle w:val="FootnoteReference"/>
          <w:rFonts w:asciiTheme="minorHAnsi" w:hAnsiTheme="minorHAnsi" w:cstheme="minorHAnsi"/>
          <w:color w:val="000000"/>
          <w:sz w:val="24"/>
          <w:szCs w:val="24"/>
        </w:rPr>
        <w:footnoteReference w:id="18"/>
      </w:r>
    </w:p>
    <w:p w14:paraId="5E1AF179" w14:textId="77777777" w:rsidR="00B213D3" w:rsidRDefault="00B213D3" w:rsidP="00163562">
      <w:pPr>
        <w:pStyle w:val="BodyText"/>
        <w:kinsoku w:val="0"/>
        <w:overflowPunct w:val="0"/>
        <w:spacing w:after="120" w:line="240" w:lineRule="auto"/>
        <w:ind w:left="0"/>
        <w:rPr>
          <w:rFonts w:asciiTheme="minorHAnsi" w:hAnsiTheme="minorHAnsi" w:cstheme="minorHAnsi"/>
          <w:color w:val="000000"/>
          <w:sz w:val="24"/>
          <w:szCs w:val="24"/>
        </w:rPr>
      </w:pPr>
    </w:p>
    <w:p w14:paraId="5EFAB92D" w14:textId="2A19B7D0" w:rsidR="000D1B2D" w:rsidRPr="000D1B2D" w:rsidRDefault="00163562" w:rsidP="00B213D3">
      <w:pPr>
        <w:pStyle w:val="BodyText"/>
        <w:keepLines/>
        <w:widowControl w:val="0"/>
        <w:kinsoku w:val="0"/>
        <w:overflowPunct w:val="0"/>
        <w:spacing w:after="120" w:line="240" w:lineRule="auto"/>
        <w:ind w:left="0"/>
        <w:rPr>
          <w:rFonts w:asciiTheme="minorHAnsi" w:hAnsiTheme="minorHAnsi" w:cstheme="minorHAnsi"/>
          <w:i/>
          <w:iCs/>
          <w:color w:val="000000"/>
          <w:sz w:val="28"/>
          <w:szCs w:val="28"/>
          <w:u w:val="single"/>
        </w:rPr>
      </w:pPr>
      <w:r w:rsidRPr="00CF2B06">
        <w:rPr>
          <w:rFonts w:asciiTheme="minorHAnsi" w:hAnsiTheme="minorHAnsi" w:cstheme="minorHAnsi"/>
          <w:i/>
          <w:iCs/>
          <w:color w:val="000000"/>
          <w:sz w:val="28"/>
          <w:szCs w:val="28"/>
          <w:u w:val="single"/>
        </w:rPr>
        <w:t>Harvard</w:t>
      </w:r>
    </w:p>
    <w:p w14:paraId="1F858B29" w14:textId="3BD02E04" w:rsidR="00163562" w:rsidRDefault="00163562" w:rsidP="00B213D3">
      <w:pPr>
        <w:pStyle w:val="BodyText"/>
        <w:keepLines/>
        <w:widowControl w:val="0"/>
        <w:kinsoku w:val="0"/>
        <w:overflowPunct w:val="0"/>
        <w:spacing w:after="120" w:line="240" w:lineRule="auto"/>
        <w:ind w:left="0"/>
        <w:rPr>
          <w:rFonts w:asciiTheme="minorHAnsi" w:hAnsiTheme="minorHAnsi" w:cstheme="minorHAnsi"/>
          <w:color w:val="000000"/>
          <w:sz w:val="24"/>
          <w:szCs w:val="24"/>
        </w:rPr>
      </w:pPr>
      <w:r>
        <w:rPr>
          <w:rFonts w:asciiTheme="minorHAnsi" w:hAnsiTheme="minorHAnsi" w:cstheme="minorHAnsi"/>
          <w:color w:val="000000"/>
          <w:sz w:val="24"/>
          <w:szCs w:val="24"/>
        </w:rPr>
        <w:t xml:space="preserve">If John King joined any Harvard clubs, no record of it has been found except for a tangential reference to the laughing chemists of the </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Davy Club.</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 John King did make an unfavorable impression on his classmate Dr. Augustus Goddard Peabody, who communicated by letter his disapproval to another classmate Henry David Thoreau. Thoreau was sick at home at the time.</w:t>
      </w:r>
      <w:r>
        <w:rPr>
          <w:rStyle w:val="FootnoteReference"/>
          <w:rFonts w:asciiTheme="minorHAnsi" w:hAnsiTheme="minorHAnsi" w:cstheme="minorHAnsi"/>
          <w:color w:val="000000"/>
          <w:sz w:val="24"/>
          <w:szCs w:val="24"/>
        </w:rPr>
        <w:footnoteReference w:id="19"/>
      </w:r>
      <w:r>
        <w:rPr>
          <w:rFonts w:asciiTheme="minorHAnsi" w:hAnsiTheme="minorHAnsi" w:cstheme="minorHAnsi"/>
          <w:color w:val="000000"/>
          <w:sz w:val="24"/>
          <w:szCs w:val="24"/>
        </w:rPr>
        <w:t xml:space="preserve"> Freshman John King cut a large figure (6</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 3</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and was noticed unfavorably by many observers as he ran gaily around Delta Field in mid-May of 1836</w:t>
      </w:r>
      <w:r w:rsidR="00DC32D8">
        <w:rPr>
          <w:rFonts w:asciiTheme="minorHAnsi" w:hAnsiTheme="minorHAnsi" w:cstheme="minorHAnsi"/>
          <w:color w:val="000000"/>
          <w:sz w:val="24"/>
          <w:szCs w:val="24"/>
        </w:rPr>
        <w:t>,</w:t>
      </w:r>
      <w:r>
        <w:rPr>
          <w:rFonts w:asciiTheme="minorHAnsi" w:hAnsiTheme="minorHAnsi" w:cstheme="minorHAnsi"/>
          <w:color w:val="000000"/>
          <w:sz w:val="24"/>
          <w:szCs w:val="24"/>
        </w:rPr>
        <w:t xml:space="preserve"> gleefully crashing into random people.</w:t>
      </w:r>
    </w:p>
    <w:p w14:paraId="6138696D" w14:textId="72DD6E46" w:rsidR="00163562" w:rsidRDefault="00163562" w:rsidP="00B213D3">
      <w:pPr>
        <w:pStyle w:val="BodyText"/>
        <w:keepLines/>
        <w:widowControl w:val="0"/>
        <w:kinsoku w:val="0"/>
        <w:overflowPunct w:val="0"/>
        <w:spacing w:after="120" w:line="240" w:lineRule="auto"/>
        <w:ind w:left="0"/>
        <w:rPr>
          <w:rFonts w:asciiTheme="minorHAnsi" w:hAnsiTheme="minorHAnsi" w:cstheme="minorHAnsi"/>
          <w:color w:val="000000"/>
          <w:sz w:val="24"/>
          <w:szCs w:val="24"/>
        </w:rPr>
      </w:pPr>
      <w:r>
        <w:rPr>
          <w:noProof/>
        </w:rPr>
        <w:lastRenderedPageBreak/>
        <w:drawing>
          <wp:anchor distT="0" distB="0" distL="114300" distR="114300" simplePos="0" relativeHeight="251660288" behindDoc="1" locked="0" layoutInCell="1" allowOverlap="1" wp14:anchorId="28CA478F" wp14:editId="732808E5">
            <wp:simplePos x="0" y="0"/>
            <wp:positionH relativeFrom="margin">
              <wp:align>left</wp:align>
            </wp:positionH>
            <wp:positionV relativeFrom="paragraph">
              <wp:posOffset>40589</wp:posOffset>
            </wp:positionV>
            <wp:extent cx="3162935" cy="2441575"/>
            <wp:effectExtent l="0" t="0" r="0" b="0"/>
            <wp:wrapTight wrapText="bothSides">
              <wp:wrapPolygon edited="0">
                <wp:start x="0" y="0"/>
                <wp:lineTo x="0" y="21403"/>
                <wp:lineTo x="21466" y="21403"/>
                <wp:lineTo x="21466"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162935" cy="2441575"/>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color w:val="000000"/>
          <w:sz w:val="24"/>
          <w:szCs w:val="24"/>
        </w:rPr>
        <w:t>In fairness, two freshmen with the surname King were in the Harvard freshman class of 1835-6. Judge James Gore King, Jr. (1819-1867) was the second King. The Judge</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s King family was far wealthier and more socially prominent than that of Geneva</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s John King. </w:t>
      </w:r>
    </w:p>
    <w:p w14:paraId="4C316A04" w14:textId="6E311A51" w:rsidR="00163562" w:rsidRDefault="00163562" w:rsidP="00B213D3">
      <w:pPr>
        <w:pStyle w:val="BodyText"/>
        <w:keepLines/>
        <w:widowControl w:val="0"/>
        <w:kinsoku w:val="0"/>
        <w:overflowPunct w:val="0"/>
        <w:spacing w:after="120" w:line="240" w:lineRule="auto"/>
        <w:ind w:left="0"/>
        <w:rPr>
          <w:rFonts w:asciiTheme="minorHAnsi" w:hAnsiTheme="minorHAnsi" w:cstheme="minorHAnsi"/>
          <w:color w:val="000000"/>
          <w:sz w:val="24"/>
          <w:szCs w:val="24"/>
        </w:rPr>
      </w:pPr>
      <w:r>
        <w:rPr>
          <w:rFonts w:asciiTheme="minorHAnsi" w:hAnsiTheme="minorHAnsi" w:cstheme="minorHAnsi"/>
          <w:color w:val="000000"/>
          <w:sz w:val="24"/>
          <w:szCs w:val="24"/>
        </w:rPr>
        <w:t xml:space="preserve">New York Supreme Court Judge James Gore King walked his sister Fredericka down the aisle in November 1857 at </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Highwood,</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 the King palatial estate on the Heights of Weehawken in New Jersey. Just hours before the ceremony, a large portion of New York</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s high society wedding guests had almost perished when their overloaded North River ferry </w:t>
      </w:r>
      <w:r w:rsidRPr="004725CB">
        <w:rPr>
          <w:rFonts w:asciiTheme="minorHAnsi" w:hAnsiTheme="minorHAnsi" w:cstheme="minorHAnsi"/>
          <w:i/>
          <w:iCs/>
          <w:color w:val="000000"/>
          <w:sz w:val="24"/>
          <w:szCs w:val="24"/>
        </w:rPr>
        <w:t>Phoenix</w:t>
      </w:r>
      <w:r>
        <w:rPr>
          <w:rFonts w:asciiTheme="minorHAnsi" w:hAnsiTheme="minorHAnsi" w:cstheme="minorHAnsi"/>
          <w:color w:val="000000"/>
          <w:sz w:val="24"/>
          <w:szCs w:val="24"/>
        </w:rPr>
        <w:t xml:space="preserve"> nearly capsized in a wintry squall.</w:t>
      </w:r>
      <w:r>
        <w:rPr>
          <w:rStyle w:val="FootnoteReference"/>
          <w:rFonts w:asciiTheme="minorHAnsi" w:hAnsiTheme="minorHAnsi" w:cstheme="minorHAnsi"/>
          <w:color w:val="000000"/>
          <w:sz w:val="24"/>
          <w:szCs w:val="24"/>
        </w:rPr>
        <w:footnoteReference w:id="20"/>
      </w:r>
    </w:p>
    <w:p w14:paraId="1EBCF91E" w14:textId="2BE42D3B" w:rsidR="00163562" w:rsidRDefault="00163562" w:rsidP="00163562">
      <w:pPr>
        <w:pStyle w:val="BodyText"/>
        <w:kinsoku w:val="0"/>
        <w:overflowPunct w:val="0"/>
        <w:spacing w:after="120" w:line="240" w:lineRule="auto"/>
        <w:ind w:left="0"/>
        <w:rPr>
          <w:rFonts w:asciiTheme="minorHAnsi" w:hAnsiTheme="minorHAnsi" w:cstheme="minorHAnsi"/>
          <w:color w:val="000000"/>
          <w:sz w:val="24"/>
          <w:szCs w:val="24"/>
        </w:rPr>
      </w:pPr>
      <w:r>
        <w:rPr>
          <w:rFonts w:asciiTheme="minorHAnsi" w:hAnsiTheme="minorHAnsi" w:cstheme="minorHAnsi"/>
          <w:color w:val="000000"/>
          <w:sz w:val="24"/>
          <w:szCs w:val="24"/>
        </w:rPr>
        <w:t xml:space="preserve">James Gore King, Sr. was already a prominent man in 1836, making it unlikely that his son was not known to Peabody, whose Thoreau missive referred only to </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King, Freshman.</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 The Senior James Gore King, like the Senior John King, was also a Harvard man.</w:t>
      </w:r>
      <w:r>
        <w:rPr>
          <w:rStyle w:val="FootnoteReference"/>
          <w:rFonts w:asciiTheme="minorHAnsi" w:hAnsiTheme="minorHAnsi" w:cstheme="minorHAnsi"/>
          <w:color w:val="000000"/>
          <w:sz w:val="24"/>
          <w:szCs w:val="24"/>
        </w:rPr>
        <w:footnoteReference w:id="21"/>
      </w:r>
    </w:p>
    <w:p w14:paraId="52ADA952" w14:textId="044FE85F" w:rsidR="00163562" w:rsidRPr="00527744" w:rsidRDefault="00163562" w:rsidP="00163562">
      <w:pPr>
        <w:pStyle w:val="BodyText"/>
        <w:keepNext/>
        <w:kinsoku w:val="0"/>
        <w:overflowPunct w:val="0"/>
        <w:spacing w:after="120" w:line="240" w:lineRule="auto"/>
        <w:ind w:left="0"/>
      </w:pPr>
      <w:r>
        <w:rPr>
          <w:noProof/>
        </w:rPr>
        <w:drawing>
          <wp:anchor distT="0" distB="0" distL="114300" distR="114300" simplePos="0" relativeHeight="251661312" behindDoc="1" locked="0" layoutInCell="1" allowOverlap="1" wp14:anchorId="61EA3220" wp14:editId="7091D60E">
            <wp:simplePos x="0" y="0"/>
            <wp:positionH relativeFrom="margin">
              <wp:align>left</wp:align>
            </wp:positionH>
            <wp:positionV relativeFrom="paragraph">
              <wp:posOffset>0</wp:posOffset>
            </wp:positionV>
            <wp:extent cx="3744595" cy="2721610"/>
            <wp:effectExtent l="0" t="0" r="8255" b="2540"/>
            <wp:wrapTight wrapText="bothSides">
              <wp:wrapPolygon edited="0">
                <wp:start x="0" y="0"/>
                <wp:lineTo x="0" y="21469"/>
                <wp:lineTo x="21538" y="21469"/>
                <wp:lineTo x="21538"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765499" cy="2736816"/>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color w:val="000000"/>
          <w:sz w:val="24"/>
          <w:szCs w:val="24"/>
        </w:rPr>
        <w:t xml:space="preserve">Sir Humphrey Davy (1778-1829) was a Cornish chemist, poet, and polymath. Although Priestly had discovered nitrous oxide, Davy experimented with it and became addicted. He was the one who coined the term </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laughing gas.</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 Although he discovered many elements, including sodium and chlorine, he joked that his most significant discovery was his assistant Michael Faraday. Davy </w:t>
      </w:r>
      <w:r>
        <w:rPr>
          <w:rFonts w:asciiTheme="minorHAnsi" w:hAnsiTheme="minorHAnsi" w:cstheme="minorHAnsi"/>
          <w:color w:val="000000"/>
          <w:sz w:val="24"/>
          <w:szCs w:val="24"/>
        </w:rPr>
        <w:lastRenderedPageBreak/>
        <w:t>is buried in Geneva (Switzerland).</w:t>
      </w:r>
      <w:r>
        <w:rPr>
          <w:rStyle w:val="FootnoteReference"/>
          <w:rFonts w:asciiTheme="minorHAnsi" w:hAnsiTheme="minorHAnsi" w:cstheme="minorHAnsi"/>
          <w:color w:val="000000"/>
          <w:sz w:val="24"/>
          <w:szCs w:val="24"/>
        </w:rPr>
        <w:footnoteReference w:id="22"/>
      </w:r>
    </w:p>
    <w:p w14:paraId="6B459C2F" w14:textId="6855B637" w:rsidR="00163562" w:rsidRPr="0093246C" w:rsidRDefault="00163562" w:rsidP="00163562">
      <w:pPr>
        <w:pStyle w:val="BodyText"/>
        <w:kinsoku w:val="0"/>
        <w:overflowPunct w:val="0"/>
        <w:spacing w:after="120" w:line="240" w:lineRule="auto"/>
        <w:ind w:left="0"/>
        <w:rPr>
          <w:rFonts w:asciiTheme="minorHAnsi" w:hAnsiTheme="minorHAnsi" w:cstheme="minorHAnsi"/>
          <w:sz w:val="24"/>
          <w:szCs w:val="24"/>
          <w:shd w:val="clear" w:color="auto" w:fill="FFFFFF"/>
        </w:rPr>
      </w:pPr>
      <w:r w:rsidRPr="00487D11">
        <w:rPr>
          <w:rFonts w:asciiTheme="minorHAnsi" w:hAnsiTheme="minorHAnsi" w:cstheme="minorHAnsi"/>
          <w:color w:val="000000"/>
          <w:sz w:val="24"/>
          <w:szCs w:val="24"/>
        </w:rPr>
        <w:t xml:space="preserve">The </w:t>
      </w:r>
      <w:r w:rsidR="003C6F8E">
        <w:rPr>
          <w:rFonts w:asciiTheme="minorHAnsi" w:hAnsiTheme="minorHAnsi" w:cstheme="minorHAnsi"/>
          <w:color w:val="000000"/>
          <w:sz w:val="24"/>
          <w:szCs w:val="24"/>
        </w:rPr>
        <w:t>“</w:t>
      </w:r>
      <w:r w:rsidRPr="00487D11">
        <w:rPr>
          <w:rFonts w:asciiTheme="minorHAnsi" w:hAnsiTheme="minorHAnsi" w:cstheme="minorHAnsi"/>
          <w:color w:val="000000"/>
          <w:sz w:val="24"/>
          <w:szCs w:val="24"/>
        </w:rPr>
        <w:t>Webster</w:t>
      </w:r>
      <w:r w:rsidR="003C6F8E">
        <w:rPr>
          <w:rFonts w:asciiTheme="minorHAnsi" w:hAnsiTheme="minorHAnsi" w:cstheme="minorHAnsi"/>
          <w:color w:val="000000"/>
          <w:sz w:val="24"/>
          <w:szCs w:val="24"/>
        </w:rPr>
        <w:t>”</w:t>
      </w:r>
      <w:r w:rsidRPr="00487D11">
        <w:rPr>
          <w:rFonts w:asciiTheme="minorHAnsi" w:hAnsiTheme="minorHAnsi" w:cstheme="minorHAnsi"/>
          <w:color w:val="000000"/>
          <w:sz w:val="24"/>
          <w:szCs w:val="24"/>
        </w:rPr>
        <w:t xml:space="preserve"> mentioned in the Peabody missive was John </w:t>
      </w:r>
      <w:r w:rsidR="003C6F8E">
        <w:rPr>
          <w:rFonts w:asciiTheme="minorHAnsi" w:hAnsiTheme="minorHAnsi" w:cstheme="minorHAnsi"/>
          <w:color w:val="202122"/>
          <w:sz w:val="24"/>
          <w:szCs w:val="24"/>
          <w:shd w:val="clear" w:color="auto" w:fill="FFFFFF"/>
        </w:rPr>
        <w:t>“</w:t>
      </w:r>
      <w:r w:rsidRPr="00487D11">
        <w:rPr>
          <w:rFonts w:asciiTheme="minorHAnsi" w:hAnsiTheme="minorHAnsi" w:cstheme="minorHAnsi"/>
          <w:color w:val="202122"/>
          <w:sz w:val="24"/>
          <w:szCs w:val="24"/>
          <w:shd w:val="clear" w:color="auto" w:fill="FFFFFF"/>
        </w:rPr>
        <w:t>Sky-rocket Jack</w:t>
      </w:r>
      <w:r w:rsidR="003C6F8E">
        <w:rPr>
          <w:rFonts w:asciiTheme="minorHAnsi" w:hAnsiTheme="minorHAnsi" w:cstheme="minorHAnsi"/>
          <w:color w:val="202122"/>
          <w:sz w:val="24"/>
          <w:szCs w:val="24"/>
          <w:shd w:val="clear" w:color="auto" w:fill="FFFFFF"/>
        </w:rPr>
        <w:t>”</w:t>
      </w:r>
      <w:r w:rsidRPr="00487D11">
        <w:rPr>
          <w:rFonts w:asciiTheme="minorHAnsi" w:hAnsiTheme="minorHAnsi" w:cstheme="minorHAnsi"/>
          <w:color w:val="202122"/>
          <w:sz w:val="24"/>
          <w:szCs w:val="24"/>
          <w:shd w:val="clear" w:color="auto" w:fill="FFFFFF"/>
        </w:rPr>
        <w:t xml:space="preserve"> Webster</w:t>
      </w:r>
      <w:r>
        <w:rPr>
          <w:rFonts w:asciiTheme="minorHAnsi" w:hAnsiTheme="minorHAnsi" w:cstheme="minorHAnsi"/>
          <w:color w:val="202122"/>
          <w:sz w:val="24"/>
          <w:szCs w:val="24"/>
          <w:shd w:val="clear" w:color="auto" w:fill="FFFFFF"/>
        </w:rPr>
        <w:t>,</w:t>
      </w:r>
      <w:r w:rsidRPr="00487D11">
        <w:rPr>
          <w:rFonts w:asciiTheme="minorHAnsi" w:hAnsiTheme="minorHAnsi" w:cstheme="minorHAnsi"/>
          <w:color w:val="202122"/>
          <w:sz w:val="24"/>
          <w:szCs w:val="24"/>
          <w:shd w:val="clear" w:color="auto" w:fill="FFFFFF"/>
        </w:rPr>
        <w:t xml:space="preserve"> </w:t>
      </w:r>
      <w:r w:rsidRPr="00487D11">
        <w:rPr>
          <w:rFonts w:asciiTheme="minorHAnsi" w:hAnsiTheme="minorHAnsi" w:cstheme="minorHAnsi"/>
          <w:color w:val="000000"/>
          <w:sz w:val="24"/>
          <w:szCs w:val="24"/>
        </w:rPr>
        <w:t>the Harvard Medical School lecturer and infamous murderer of Dr. George Parkman in 1849. The</w:t>
      </w:r>
      <w:r>
        <w:rPr>
          <w:rFonts w:asciiTheme="minorHAnsi" w:hAnsiTheme="minorHAnsi" w:cstheme="minorHAnsi"/>
          <w:color w:val="000000"/>
          <w:sz w:val="24"/>
          <w:szCs w:val="24"/>
        </w:rPr>
        <w:t xml:space="preserve"> Peabody letter mentions Webster</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s pyrotechnic displays but pans the quality of his bags of nitrous. </w:t>
      </w:r>
      <w:r>
        <w:rPr>
          <w:rFonts w:ascii="Arial" w:hAnsi="Arial" w:cs="Arial"/>
          <w:color w:val="202122"/>
          <w:sz w:val="21"/>
          <w:szCs w:val="21"/>
          <w:shd w:val="clear" w:color="auto" w:fill="FFFFFF"/>
        </w:rPr>
        <w:t> </w:t>
      </w:r>
      <w:r w:rsidRPr="0093246C">
        <w:rPr>
          <w:rFonts w:asciiTheme="minorHAnsi" w:hAnsiTheme="minorHAnsi" w:cstheme="minorHAnsi"/>
          <w:sz w:val="24"/>
          <w:szCs w:val="24"/>
          <w:shd w:val="clear" w:color="auto" w:fill="FFFFFF"/>
        </w:rPr>
        <w:t>Lawyers </w:t>
      </w:r>
      <w:hyperlink r:id="rId10" w:tooltip="Daniel Webster" w:history="1">
        <w:r w:rsidRPr="0093246C">
          <w:rPr>
            <w:rStyle w:val="Hyperlink"/>
            <w:rFonts w:asciiTheme="minorHAnsi" w:hAnsiTheme="minorHAnsi" w:cstheme="minorHAnsi"/>
            <w:sz w:val="24"/>
            <w:szCs w:val="24"/>
            <w:shd w:val="clear" w:color="auto" w:fill="FFFFFF"/>
          </w:rPr>
          <w:t>Daniel Webster</w:t>
        </w:r>
      </w:hyperlink>
      <w:r w:rsidRPr="0093246C">
        <w:rPr>
          <w:rFonts w:asciiTheme="minorHAnsi" w:hAnsiTheme="minorHAnsi" w:cstheme="minorHAnsi"/>
          <w:sz w:val="24"/>
          <w:szCs w:val="24"/>
          <w:shd w:val="clear" w:color="auto" w:fill="FFFFFF"/>
        </w:rPr>
        <w:t> and </w:t>
      </w:r>
      <w:hyperlink r:id="rId11" w:tooltip="Rufus Choate" w:history="1">
        <w:r w:rsidRPr="0093246C">
          <w:rPr>
            <w:rStyle w:val="Hyperlink"/>
            <w:rFonts w:asciiTheme="minorHAnsi" w:hAnsiTheme="minorHAnsi" w:cstheme="minorHAnsi"/>
            <w:sz w:val="24"/>
            <w:szCs w:val="24"/>
            <w:shd w:val="clear" w:color="auto" w:fill="FFFFFF"/>
          </w:rPr>
          <w:t>Rufus Choate</w:t>
        </w:r>
      </w:hyperlink>
      <w:r w:rsidRPr="0093246C">
        <w:rPr>
          <w:rFonts w:asciiTheme="minorHAnsi" w:hAnsiTheme="minorHAnsi" w:cstheme="minorHAnsi"/>
          <w:sz w:val="24"/>
          <w:szCs w:val="24"/>
        </w:rPr>
        <w:t xml:space="preserve"> (one of John King</w:t>
      </w:r>
      <w:r w:rsidR="003C6F8E">
        <w:rPr>
          <w:rFonts w:asciiTheme="minorHAnsi" w:hAnsiTheme="minorHAnsi" w:cstheme="minorHAnsi"/>
          <w:sz w:val="24"/>
          <w:szCs w:val="24"/>
        </w:rPr>
        <w:t>’</w:t>
      </w:r>
      <w:r w:rsidRPr="0093246C">
        <w:rPr>
          <w:rFonts w:asciiTheme="minorHAnsi" w:hAnsiTheme="minorHAnsi" w:cstheme="minorHAnsi"/>
          <w:sz w:val="24"/>
          <w:szCs w:val="24"/>
        </w:rPr>
        <w:t xml:space="preserve">s mentors) </w:t>
      </w:r>
      <w:r w:rsidRPr="0093246C">
        <w:rPr>
          <w:rFonts w:asciiTheme="minorHAnsi" w:hAnsiTheme="minorHAnsi" w:cstheme="minorHAnsi"/>
          <w:sz w:val="24"/>
          <w:szCs w:val="24"/>
          <w:shd w:val="clear" w:color="auto" w:fill="FFFFFF"/>
        </w:rPr>
        <w:t xml:space="preserve"> both declined to serve as </w:t>
      </w:r>
      <w:r w:rsidR="006163B7">
        <w:rPr>
          <w:rFonts w:asciiTheme="minorHAnsi" w:hAnsiTheme="minorHAnsi" w:cstheme="minorHAnsi"/>
          <w:sz w:val="24"/>
          <w:szCs w:val="24"/>
          <w:shd w:val="clear" w:color="auto" w:fill="FFFFFF"/>
        </w:rPr>
        <w:t xml:space="preserve">John </w:t>
      </w:r>
      <w:r w:rsidRPr="0093246C">
        <w:rPr>
          <w:rFonts w:asciiTheme="minorHAnsi" w:hAnsiTheme="minorHAnsi" w:cstheme="minorHAnsi"/>
          <w:sz w:val="24"/>
          <w:szCs w:val="24"/>
          <w:shd w:val="clear" w:color="auto" w:fill="FFFFFF"/>
        </w:rPr>
        <w:t>Webster</w:t>
      </w:r>
      <w:r w:rsidR="003C6F8E">
        <w:rPr>
          <w:rFonts w:asciiTheme="minorHAnsi" w:hAnsiTheme="minorHAnsi" w:cstheme="minorHAnsi"/>
          <w:sz w:val="24"/>
          <w:szCs w:val="24"/>
          <w:shd w:val="clear" w:color="auto" w:fill="FFFFFF"/>
        </w:rPr>
        <w:t>’</w:t>
      </w:r>
      <w:r w:rsidRPr="0093246C">
        <w:rPr>
          <w:rFonts w:asciiTheme="minorHAnsi" w:hAnsiTheme="minorHAnsi" w:cstheme="minorHAnsi"/>
          <w:sz w:val="24"/>
          <w:szCs w:val="24"/>
          <w:shd w:val="clear" w:color="auto" w:fill="FFFFFF"/>
        </w:rPr>
        <w:t xml:space="preserve">s </w:t>
      </w:r>
      <w:r>
        <w:rPr>
          <w:rFonts w:asciiTheme="minorHAnsi" w:hAnsiTheme="minorHAnsi" w:cstheme="minorHAnsi"/>
          <w:sz w:val="24"/>
          <w:szCs w:val="24"/>
          <w:shd w:val="clear" w:color="auto" w:fill="FFFFFF"/>
        </w:rPr>
        <w:t xml:space="preserve">defense </w:t>
      </w:r>
      <w:r w:rsidRPr="0093246C">
        <w:rPr>
          <w:rFonts w:asciiTheme="minorHAnsi" w:hAnsiTheme="minorHAnsi" w:cstheme="minorHAnsi"/>
          <w:sz w:val="24"/>
          <w:szCs w:val="24"/>
          <w:shd w:val="clear" w:color="auto" w:fill="FFFFFF"/>
        </w:rPr>
        <w:t>counsel.</w:t>
      </w:r>
      <w:r>
        <w:rPr>
          <w:rStyle w:val="FootnoteReference"/>
          <w:rFonts w:asciiTheme="minorHAnsi" w:hAnsiTheme="minorHAnsi" w:cstheme="minorHAnsi"/>
          <w:sz w:val="24"/>
          <w:szCs w:val="24"/>
          <w:shd w:val="clear" w:color="auto" w:fill="FFFFFF"/>
        </w:rPr>
        <w:footnoteReference w:id="23"/>
      </w:r>
    </w:p>
    <w:p w14:paraId="68859867" w14:textId="77777777" w:rsidR="00163562" w:rsidRDefault="00163562" w:rsidP="00163562">
      <w:pPr>
        <w:pStyle w:val="BodyText"/>
        <w:kinsoku w:val="0"/>
        <w:overflowPunct w:val="0"/>
        <w:spacing w:after="120" w:line="240" w:lineRule="auto"/>
        <w:ind w:left="0"/>
        <w:rPr>
          <w:rFonts w:asciiTheme="minorHAnsi" w:hAnsiTheme="minorHAnsi" w:cstheme="minorHAnsi"/>
          <w:color w:val="000000"/>
          <w:sz w:val="24"/>
          <w:szCs w:val="24"/>
        </w:rPr>
      </w:pPr>
    </w:p>
    <w:p w14:paraId="6834A5D2" w14:textId="77777777" w:rsidR="00163562" w:rsidRDefault="00163562" w:rsidP="00163562">
      <w:pPr>
        <w:pStyle w:val="BodyText"/>
        <w:kinsoku w:val="0"/>
        <w:overflowPunct w:val="0"/>
        <w:spacing w:line="240" w:lineRule="auto"/>
        <w:ind w:left="0"/>
        <w:rPr>
          <w:rFonts w:asciiTheme="minorHAnsi" w:hAnsiTheme="minorHAnsi" w:cstheme="minorHAnsi"/>
          <w:color w:val="000000"/>
          <w:sz w:val="24"/>
          <w:szCs w:val="24"/>
        </w:rPr>
      </w:pPr>
      <w:r>
        <w:rPr>
          <w:noProof/>
        </w:rPr>
        <w:drawing>
          <wp:inline distT="0" distB="0" distL="0" distR="0" wp14:anchorId="25CDCE86" wp14:editId="6378B2D5">
            <wp:extent cx="5943600" cy="1097915"/>
            <wp:effectExtent l="0" t="0" r="0" b="698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097915"/>
                    </a:xfrm>
                    <a:prstGeom prst="rect">
                      <a:avLst/>
                    </a:prstGeom>
                  </pic:spPr>
                </pic:pic>
              </a:graphicData>
            </a:graphic>
          </wp:inline>
        </w:drawing>
      </w:r>
    </w:p>
    <w:p w14:paraId="46CA538A" w14:textId="77777777" w:rsidR="00163562" w:rsidRDefault="00163562" w:rsidP="00163562">
      <w:pPr>
        <w:pStyle w:val="BodyText"/>
        <w:keepNext/>
        <w:kinsoku w:val="0"/>
        <w:overflowPunct w:val="0"/>
        <w:spacing w:line="240" w:lineRule="auto"/>
        <w:ind w:left="0"/>
      </w:pPr>
    </w:p>
    <w:p w14:paraId="5AF39E56" w14:textId="0E6D06C1" w:rsidR="00163562" w:rsidRPr="0021185E" w:rsidRDefault="00163562" w:rsidP="00163562">
      <w:pPr>
        <w:pStyle w:val="BodyText"/>
        <w:kinsoku w:val="0"/>
        <w:overflowPunct w:val="0"/>
        <w:spacing w:after="120" w:line="240" w:lineRule="auto"/>
        <w:ind w:left="0"/>
        <w:rPr>
          <w:rFonts w:asciiTheme="minorHAnsi" w:hAnsiTheme="minorHAnsi" w:cstheme="minorHAnsi"/>
          <w:color w:val="000000"/>
          <w:sz w:val="24"/>
          <w:szCs w:val="24"/>
        </w:rPr>
      </w:pPr>
      <w:r>
        <w:rPr>
          <w:rFonts w:asciiTheme="minorHAnsi" w:hAnsiTheme="minorHAnsi" w:cstheme="minorHAnsi"/>
          <w:color w:val="000000"/>
          <w:sz w:val="24"/>
          <w:szCs w:val="24"/>
        </w:rPr>
        <w:t>John King</w:t>
      </w:r>
      <w:r w:rsidR="003C6F8E">
        <w:rPr>
          <w:rFonts w:asciiTheme="minorHAnsi" w:hAnsiTheme="minorHAnsi" w:cstheme="minorHAnsi"/>
          <w:color w:val="000000"/>
          <w:sz w:val="24"/>
          <w:szCs w:val="24"/>
        </w:rPr>
        <w:t>’</w:t>
      </w:r>
      <w:r>
        <w:rPr>
          <w:rFonts w:asciiTheme="minorHAnsi" w:hAnsiTheme="minorHAnsi" w:cstheme="minorHAnsi"/>
          <w:color w:val="000000"/>
          <w:sz w:val="24"/>
          <w:szCs w:val="24"/>
        </w:rPr>
        <w:t xml:space="preserve">s pre-Harvard education was likely </w:t>
      </w:r>
      <w:proofErr w:type="gramStart"/>
      <w:r w:rsidR="004265D1">
        <w:rPr>
          <w:rFonts w:asciiTheme="minorHAnsi" w:hAnsiTheme="minorHAnsi" w:cstheme="minorHAnsi"/>
          <w:color w:val="000000"/>
          <w:sz w:val="24"/>
          <w:szCs w:val="24"/>
        </w:rPr>
        <w:t>similar to</w:t>
      </w:r>
      <w:proofErr w:type="gramEnd"/>
      <w:r>
        <w:rPr>
          <w:rFonts w:asciiTheme="minorHAnsi" w:hAnsiTheme="minorHAnsi" w:cstheme="minorHAnsi"/>
          <w:color w:val="000000"/>
          <w:sz w:val="24"/>
          <w:szCs w:val="24"/>
        </w:rPr>
        <w:t xml:space="preserve"> that of his Randolph friend Winslow Battles, who was also born in 1816. The two shared a fondness for music and were active members of the Stoughton Musical Society, founded in 1786.</w:t>
      </w:r>
      <w:r>
        <w:rPr>
          <w:rStyle w:val="FootnoteReference"/>
          <w:rFonts w:asciiTheme="minorHAnsi" w:hAnsiTheme="minorHAnsi" w:cstheme="minorHAnsi"/>
          <w:color w:val="000000"/>
          <w:sz w:val="24"/>
          <w:szCs w:val="24"/>
        </w:rPr>
        <w:footnoteReference w:id="24"/>
      </w:r>
      <w:r>
        <w:rPr>
          <w:rFonts w:asciiTheme="minorHAnsi" w:hAnsiTheme="minorHAnsi" w:cstheme="minorHAnsi"/>
          <w:color w:val="000000"/>
          <w:sz w:val="24"/>
          <w:szCs w:val="24"/>
        </w:rPr>
        <w:t xml:space="preserve"> </w:t>
      </w:r>
    </w:p>
    <w:p w14:paraId="4F0E34D7" w14:textId="04C36600" w:rsidR="00163562" w:rsidRDefault="00163562" w:rsidP="00163562">
      <w:pPr>
        <w:autoSpaceDE w:val="0"/>
        <w:autoSpaceDN w:val="0"/>
        <w:adjustRightInd w:val="0"/>
        <w:spacing w:after="120" w:line="240" w:lineRule="auto"/>
        <w:rPr>
          <w:rFonts w:cstheme="minorHAnsi"/>
          <w:sz w:val="24"/>
          <w:szCs w:val="24"/>
        </w:rPr>
      </w:pPr>
      <w:r>
        <w:rPr>
          <w:noProof/>
        </w:rPr>
        <w:drawing>
          <wp:anchor distT="0" distB="0" distL="114300" distR="114300" simplePos="0" relativeHeight="251659264" behindDoc="1" locked="0" layoutInCell="1" allowOverlap="1" wp14:anchorId="28719283" wp14:editId="280E6C1B">
            <wp:simplePos x="0" y="0"/>
            <wp:positionH relativeFrom="margin">
              <wp:align>left</wp:align>
            </wp:positionH>
            <wp:positionV relativeFrom="paragraph">
              <wp:posOffset>107832</wp:posOffset>
            </wp:positionV>
            <wp:extent cx="2765608" cy="1754802"/>
            <wp:effectExtent l="0" t="0" r="0" b="0"/>
            <wp:wrapTight wrapText="bothSides">
              <wp:wrapPolygon edited="0">
                <wp:start x="0" y="0"/>
                <wp:lineTo x="0" y="21342"/>
                <wp:lineTo x="21426" y="21342"/>
                <wp:lineTo x="21426"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65608" cy="1754802"/>
                    </a:xfrm>
                    <a:prstGeom prst="rect">
                      <a:avLst/>
                    </a:prstGeom>
                  </pic:spPr>
                </pic:pic>
              </a:graphicData>
            </a:graphic>
          </wp:anchor>
        </w:drawing>
      </w:r>
      <w:r w:rsidRPr="00063C12">
        <w:rPr>
          <w:rFonts w:cstheme="minorHAnsi"/>
          <w:sz w:val="24"/>
          <w:szCs w:val="24"/>
        </w:rPr>
        <w:t>Dr. Ebenezer Alden</w:t>
      </w:r>
      <w:r w:rsidR="00D722F1">
        <w:rPr>
          <w:rFonts w:cstheme="minorHAnsi"/>
          <w:sz w:val="24"/>
          <w:szCs w:val="24"/>
        </w:rPr>
        <w:t xml:space="preserve"> </w:t>
      </w:r>
      <w:r w:rsidRPr="00063C12">
        <w:rPr>
          <w:rFonts w:cstheme="minorHAnsi"/>
          <w:sz w:val="24"/>
          <w:szCs w:val="24"/>
        </w:rPr>
        <w:t xml:space="preserve">presented to the Society 30 copies of the </w:t>
      </w:r>
      <w:r w:rsidR="003C6F8E">
        <w:rPr>
          <w:rFonts w:cstheme="minorHAnsi"/>
          <w:sz w:val="24"/>
          <w:szCs w:val="24"/>
        </w:rPr>
        <w:t>“</w:t>
      </w:r>
      <w:r w:rsidRPr="00063C12">
        <w:rPr>
          <w:rFonts w:cstheme="minorHAnsi"/>
          <w:sz w:val="24"/>
          <w:szCs w:val="24"/>
        </w:rPr>
        <w:t>Ancient Harmony</w:t>
      </w:r>
      <w:r w:rsidR="00D722F1">
        <w:rPr>
          <w:rFonts w:cstheme="minorHAnsi"/>
          <w:sz w:val="24"/>
          <w:szCs w:val="24"/>
        </w:rPr>
        <w:t>.</w:t>
      </w:r>
      <w:r w:rsidR="003C6F8E">
        <w:rPr>
          <w:rFonts w:cstheme="minorHAnsi"/>
          <w:sz w:val="24"/>
          <w:szCs w:val="24"/>
        </w:rPr>
        <w:t>”</w:t>
      </w:r>
      <w:r w:rsidRPr="00063C12">
        <w:rPr>
          <w:rFonts w:cstheme="minorHAnsi"/>
          <w:sz w:val="24"/>
          <w:szCs w:val="24"/>
        </w:rPr>
        <w:t xml:space="preserve"> </w:t>
      </w:r>
      <w:r w:rsidR="00D722F1">
        <w:rPr>
          <w:rFonts w:cstheme="minorHAnsi"/>
          <w:sz w:val="24"/>
          <w:szCs w:val="24"/>
        </w:rPr>
        <w:t xml:space="preserve">Alden </w:t>
      </w:r>
      <w:r w:rsidRPr="00063C12">
        <w:rPr>
          <w:rFonts w:cstheme="minorHAnsi"/>
          <w:sz w:val="24"/>
          <w:szCs w:val="24"/>
        </w:rPr>
        <w:t>received</w:t>
      </w:r>
      <w:r>
        <w:rPr>
          <w:rFonts w:cstheme="minorHAnsi"/>
          <w:sz w:val="24"/>
          <w:szCs w:val="24"/>
        </w:rPr>
        <w:t xml:space="preserve"> thanks by</w:t>
      </w:r>
      <w:r w:rsidRPr="00063C12">
        <w:rPr>
          <w:rFonts w:cstheme="minorHAnsi"/>
          <w:sz w:val="24"/>
          <w:szCs w:val="24"/>
        </w:rPr>
        <w:t xml:space="preserve"> the following motion, presented by John King, Esq., of Randolph, which was passed</w:t>
      </w:r>
      <w:r>
        <w:rPr>
          <w:rFonts w:cstheme="minorHAnsi"/>
          <w:sz w:val="24"/>
          <w:szCs w:val="24"/>
        </w:rPr>
        <w:t xml:space="preserve">: </w:t>
      </w:r>
      <w:r w:rsidR="003C6F8E">
        <w:rPr>
          <w:rFonts w:cstheme="minorHAnsi"/>
          <w:sz w:val="24"/>
          <w:szCs w:val="24"/>
        </w:rPr>
        <w:t>“</w:t>
      </w:r>
      <w:r w:rsidRPr="00063C12">
        <w:rPr>
          <w:rFonts w:cstheme="minorHAnsi"/>
          <w:sz w:val="24"/>
          <w:szCs w:val="24"/>
        </w:rPr>
        <w:t>Whereas, Dr. Ebenezer Alden has this day presented to the Society a set of singing books to be kept for the use of the Society. Resolved, that the Society accept</w:t>
      </w:r>
      <w:r w:rsidR="000C5B4F">
        <w:rPr>
          <w:rFonts w:cstheme="minorHAnsi"/>
          <w:sz w:val="24"/>
          <w:szCs w:val="24"/>
        </w:rPr>
        <w:t>s</w:t>
      </w:r>
      <w:r w:rsidRPr="00063C12">
        <w:rPr>
          <w:rFonts w:cstheme="minorHAnsi"/>
          <w:sz w:val="24"/>
          <w:szCs w:val="24"/>
        </w:rPr>
        <w:t xml:space="preserve"> with pleasure the valuable gift and tender their sincere thanks to the donor and that this resolution be placed upon the records of the Society.</w:t>
      </w:r>
      <w:r w:rsidR="003C6F8E">
        <w:rPr>
          <w:rFonts w:cstheme="minorHAnsi"/>
          <w:sz w:val="24"/>
          <w:szCs w:val="24"/>
        </w:rPr>
        <w:t>”</w:t>
      </w:r>
      <w:r w:rsidRPr="00063C12">
        <w:rPr>
          <w:rFonts w:cstheme="minorHAnsi"/>
          <w:sz w:val="24"/>
          <w:szCs w:val="24"/>
        </w:rPr>
        <w:t xml:space="preserve"> </w:t>
      </w:r>
      <w:r w:rsidR="000C5B4F">
        <w:rPr>
          <w:rFonts w:cstheme="minorHAnsi"/>
          <w:sz w:val="24"/>
          <w:szCs w:val="24"/>
        </w:rPr>
        <w:t xml:space="preserve">The </w:t>
      </w:r>
      <w:r w:rsidRPr="00063C12">
        <w:rPr>
          <w:rFonts w:cstheme="minorHAnsi"/>
          <w:sz w:val="24"/>
          <w:szCs w:val="24"/>
        </w:rPr>
        <w:t xml:space="preserve">Secretary </w:t>
      </w:r>
      <w:r w:rsidR="000C5B4F">
        <w:rPr>
          <w:rFonts w:cstheme="minorHAnsi"/>
          <w:sz w:val="24"/>
          <w:szCs w:val="24"/>
        </w:rPr>
        <w:t xml:space="preserve">was to </w:t>
      </w:r>
      <w:r w:rsidRPr="00063C12">
        <w:rPr>
          <w:rFonts w:cstheme="minorHAnsi"/>
          <w:sz w:val="24"/>
          <w:szCs w:val="24"/>
        </w:rPr>
        <w:t xml:space="preserve">have charge of the books and have them properly marked and numbered; also sing from them at the annual sing, </w:t>
      </w:r>
      <w:r w:rsidR="00D1657F">
        <w:rPr>
          <w:rFonts w:cstheme="minorHAnsi"/>
          <w:sz w:val="24"/>
          <w:szCs w:val="24"/>
        </w:rPr>
        <w:t>25 December</w:t>
      </w:r>
      <w:r w:rsidRPr="00063C12">
        <w:rPr>
          <w:rFonts w:cstheme="minorHAnsi"/>
          <w:sz w:val="24"/>
          <w:szCs w:val="24"/>
        </w:rPr>
        <w:t xml:space="preserve"> 1852, at Stetson Hall. This hall is still in existence at the corner of North Main and Union Streets.</w:t>
      </w:r>
      <w:r>
        <w:rPr>
          <w:rFonts w:cstheme="minorHAnsi"/>
          <w:sz w:val="24"/>
          <w:szCs w:val="24"/>
        </w:rPr>
        <w:t xml:space="preserve"> From this, we know John King was in Randolph in 1852. Winslow Battles became President of the Music Society from 1873-88.</w:t>
      </w:r>
      <w:r w:rsidRPr="00063C12">
        <w:rPr>
          <w:rStyle w:val="FootnoteReference"/>
          <w:rFonts w:cstheme="minorHAnsi"/>
          <w:sz w:val="24"/>
          <w:szCs w:val="24"/>
        </w:rPr>
        <w:footnoteReference w:id="25"/>
      </w:r>
      <w:r w:rsidR="00177027">
        <w:rPr>
          <w:rFonts w:cstheme="minorHAnsi"/>
          <w:sz w:val="24"/>
          <w:szCs w:val="24"/>
        </w:rPr>
        <w:t xml:space="preserve"> John King’s sister Julia Caroline married into the Alden </w:t>
      </w:r>
      <w:proofErr w:type="gramStart"/>
      <w:r w:rsidR="00177027">
        <w:rPr>
          <w:rFonts w:cstheme="minorHAnsi"/>
          <w:sz w:val="24"/>
          <w:szCs w:val="24"/>
        </w:rPr>
        <w:t>family</w:t>
      </w:r>
      <w:r w:rsidR="00B453B5">
        <w:rPr>
          <w:rFonts w:cstheme="minorHAnsi"/>
          <w:sz w:val="24"/>
          <w:szCs w:val="24"/>
        </w:rPr>
        <w:t>,</w:t>
      </w:r>
      <w:proofErr w:type="gramEnd"/>
      <w:r w:rsidR="00177027">
        <w:rPr>
          <w:rFonts w:cstheme="minorHAnsi"/>
          <w:sz w:val="24"/>
          <w:szCs w:val="24"/>
        </w:rPr>
        <w:t xml:space="preserve"> whose original North American member was John of Mayflower fame.</w:t>
      </w:r>
      <w:r w:rsidR="00177027">
        <w:rPr>
          <w:rStyle w:val="FootnoteReference"/>
          <w:rFonts w:cstheme="minorHAnsi"/>
          <w:sz w:val="24"/>
          <w:szCs w:val="24"/>
        </w:rPr>
        <w:footnoteReference w:id="26"/>
      </w:r>
    </w:p>
    <w:p w14:paraId="6F0DEFA6" w14:textId="77777777" w:rsidR="00163562" w:rsidRPr="006B3DA0" w:rsidRDefault="00163562" w:rsidP="00163562">
      <w:pPr>
        <w:autoSpaceDE w:val="0"/>
        <w:autoSpaceDN w:val="0"/>
        <w:adjustRightInd w:val="0"/>
        <w:spacing w:after="120" w:line="240" w:lineRule="auto"/>
        <w:rPr>
          <w:rFonts w:cstheme="minorHAnsi"/>
          <w:i/>
          <w:sz w:val="28"/>
          <w:szCs w:val="28"/>
        </w:rPr>
      </w:pPr>
      <w:r>
        <w:rPr>
          <w:rFonts w:cstheme="minorHAnsi"/>
          <w:i/>
          <w:iCs/>
          <w:sz w:val="28"/>
          <w:szCs w:val="28"/>
        </w:rPr>
        <w:t xml:space="preserve">To </w:t>
      </w:r>
      <w:r w:rsidRPr="002243E5">
        <w:rPr>
          <w:rFonts w:cstheme="minorHAnsi"/>
          <w:i/>
          <w:iCs/>
          <w:sz w:val="28"/>
          <w:szCs w:val="28"/>
        </w:rPr>
        <w:t>Dedham and</w:t>
      </w:r>
      <w:r>
        <w:rPr>
          <w:rFonts w:cstheme="minorHAnsi"/>
          <w:i/>
          <w:iCs/>
          <w:sz w:val="28"/>
          <w:szCs w:val="28"/>
        </w:rPr>
        <w:t xml:space="preserve"> Back to</w:t>
      </w:r>
      <w:r w:rsidRPr="002243E5">
        <w:rPr>
          <w:rFonts w:cstheme="minorHAnsi"/>
          <w:i/>
          <w:iCs/>
          <w:sz w:val="28"/>
          <w:szCs w:val="28"/>
        </w:rPr>
        <w:t xml:space="preserve"> Randolph</w:t>
      </w:r>
      <w:r>
        <w:rPr>
          <w:rFonts w:cstheme="minorHAnsi"/>
          <w:i/>
          <w:iCs/>
          <w:sz w:val="28"/>
          <w:szCs w:val="28"/>
        </w:rPr>
        <w:t>,</w:t>
      </w:r>
      <w:r w:rsidRPr="002243E5">
        <w:rPr>
          <w:rFonts w:cstheme="minorHAnsi"/>
          <w:i/>
          <w:iCs/>
          <w:sz w:val="28"/>
          <w:szCs w:val="28"/>
        </w:rPr>
        <w:t xml:space="preserve"> MA</w:t>
      </w:r>
    </w:p>
    <w:p w14:paraId="04AFA174" w14:textId="18F55103" w:rsidR="00163562" w:rsidRPr="006B3DA0" w:rsidRDefault="00163562" w:rsidP="00163562">
      <w:pPr>
        <w:autoSpaceDE w:val="0"/>
        <w:autoSpaceDN w:val="0"/>
        <w:adjustRightInd w:val="0"/>
        <w:spacing w:after="120" w:line="240" w:lineRule="auto"/>
        <w:rPr>
          <w:rFonts w:cstheme="minorHAnsi"/>
          <w:sz w:val="24"/>
          <w:szCs w:val="24"/>
        </w:rPr>
      </w:pPr>
      <w:r w:rsidRPr="005138C1">
        <w:rPr>
          <w:rFonts w:cstheme="minorHAnsi"/>
          <w:sz w:val="24"/>
          <w:szCs w:val="24"/>
        </w:rPr>
        <w:lastRenderedPageBreak/>
        <w:t>After h</w:t>
      </w:r>
      <w:r>
        <w:rPr>
          <w:rFonts w:cstheme="minorHAnsi"/>
          <w:sz w:val="24"/>
          <w:szCs w:val="24"/>
        </w:rPr>
        <w:t>e graduated</w:t>
      </w:r>
      <w:r w:rsidRPr="005138C1">
        <w:rPr>
          <w:rFonts w:cstheme="minorHAnsi"/>
          <w:sz w:val="24"/>
          <w:szCs w:val="24"/>
        </w:rPr>
        <w:t xml:space="preserve"> </w:t>
      </w:r>
      <w:r>
        <w:rPr>
          <w:rFonts w:cstheme="minorHAnsi"/>
          <w:sz w:val="24"/>
          <w:szCs w:val="24"/>
        </w:rPr>
        <w:t>from</w:t>
      </w:r>
      <w:r w:rsidRPr="005138C1">
        <w:rPr>
          <w:rFonts w:cstheme="minorHAnsi"/>
          <w:sz w:val="24"/>
          <w:szCs w:val="24"/>
        </w:rPr>
        <w:t xml:space="preserve"> Harvard</w:t>
      </w:r>
      <w:r>
        <w:rPr>
          <w:rFonts w:cstheme="minorHAnsi"/>
          <w:sz w:val="24"/>
          <w:szCs w:val="24"/>
        </w:rPr>
        <w:t>,</w:t>
      </w:r>
      <w:r w:rsidRPr="005138C1">
        <w:rPr>
          <w:rFonts w:cstheme="minorHAnsi"/>
          <w:sz w:val="24"/>
          <w:szCs w:val="24"/>
        </w:rPr>
        <w:t xml:space="preserve"> John King studied law in the Dedham</w:t>
      </w:r>
      <w:r>
        <w:rPr>
          <w:rFonts w:cstheme="minorHAnsi"/>
          <w:sz w:val="24"/>
          <w:szCs w:val="24"/>
        </w:rPr>
        <w:t>, MA</w:t>
      </w:r>
      <w:r w:rsidRPr="005138C1">
        <w:rPr>
          <w:rFonts w:cstheme="minorHAnsi"/>
          <w:sz w:val="24"/>
          <w:szCs w:val="24"/>
        </w:rPr>
        <w:t xml:space="preserve"> office of Ezra Wilkinson.</w:t>
      </w:r>
      <w:r w:rsidRPr="005138C1">
        <w:rPr>
          <w:rStyle w:val="FootnoteReference"/>
          <w:rFonts w:cstheme="minorHAnsi"/>
          <w:sz w:val="24"/>
          <w:szCs w:val="24"/>
        </w:rPr>
        <w:footnoteReference w:id="27"/>
      </w:r>
      <w:r w:rsidRPr="005138C1">
        <w:rPr>
          <w:rFonts w:cstheme="minorHAnsi"/>
          <w:sz w:val="24"/>
          <w:szCs w:val="24"/>
        </w:rPr>
        <w:t xml:space="preserve"> Ezra Wilkinson was born in Attleboro, Mass., 14 February 1805, and graduated </w:t>
      </w:r>
      <w:r>
        <w:rPr>
          <w:rFonts w:cstheme="minorHAnsi"/>
          <w:sz w:val="24"/>
          <w:szCs w:val="24"/>
        </w:rPr>
        <w:t>from</w:t>
      </w:r>
      <w:r w:rsidRPr="005138C1">
        <w:rPr>
          <w:rFonts w:cstheme="minorHAnsi"/>
          <w:sz w:val="24"/>
          <w:szCs w:val="24"/>
        </w:rPr>
        <w:t xml:space="preserve"> Brown in 1824. He studied law with Peter Pratt in Providence</w:t>
      </w:r>
      <w:r w:rsidR="00BB5200">
        <w:rPr>
          <w:rFonts w:cstheme="minorHAnsi"/>
          <w:sz w:val="24"/>
          <w:szCs w:val="24"/>
        </w:rPr>
        <w:t>,</w:t>
      </w:r>
      <w:r>
        <w:rPr>
          <w:rFonts w:cstheme="minorHAnsi"/>
          <w:sz w:val="24"/>
          <w:szCs w:val="24"/>
        </w:rPr>
        <w:t xml:space="preserve"> RI</w:t>
      </w:r>
      <w:r w:rsidR="00E949CA">
        <w:rPr>
          <w:rFonts w:cstheme="minorHAnsi"/>
          <w:sz w:val="24"/>
          <w:szCs w:val="24"/>
        </w:rPr>
        <w:t>,</w:t>
      </w:r>
      <w:r w:rsidRPr="005138C1">
        <w:rPr>
          <w:rFonts w:cstheme="minorHAnsi"/>
          <w:sz w:val="24"/>
          <w:szCs w:val="24"/>
        </w:rPr>
        <w:t xml:space="preserve"> and Josiah J. Fiske in Wrentham, M</w:t>
      </w:r>
      <w:r>
        <w:rPr>
          <w:rFonts w:cstheme="minorHAnsi"/>
          <w:sz w:val="24"/>
          <w:szCs w:val="24"/>
        </w:rPr>
        <w:t>A</w:t>
      </w:r>
      <w:r w:rsidRPr="005138C1">
        <w:rPr>
          <w:rFonts w:cstheme="minorHAnsi"/>
          <w:sz w:val="24"/>
          <w:szCs w:val="24"/>
        </w:rPr>
        <w:t xml:space="preserve">, and was admitted to the bar in Dedham in September 1828. </w:t>
      </w:r>
      <w:r>
        <w:rPr>
          <w:rFonts w:cstheme="minorHAnsi"/>
          <w:sz w:val="24"/>
          <w:szCs w:val="24"/>
        </w:rPr>
        <w:t>Ezra</w:t>
      </w:r>
      <w:r w:rsidRPr="005138C1">
        <w:rPr>
          <w:rFonts w:cstheme="minorHAnsi"/>
          <w:sz w:val="24"/>
          <w:szCs w:val="24"/>
        </w:rPr>
        <w:t xml:space="preserve"> practiced a short time in Freetown and Seekonk and removed to Dedham in 1835. He was District Attorney from 1843 to 1855, Representative 1841-51-56, and a member of the Constitutional Convention in 1853. </w:t>
      </w:r>
      <w:r>
        <w:rPr>
          <w:rFonts w:cstheme="minorHAnsi"/>
          <w:sz w:val="24"/>
          <w:szCs w:val="24"/>
        </w:rPr>
        <w:t>In 1869 h</w:t>
      </w:r>
      <w:r w:rsidRPr="005138C1">
        <w:rPr>
          <w:rFonts w:cstheme="minorHAnsi"/>
          <w:sz w:val="24"/>
          <w:szCs w:val="24"/>
        </w:rPr>
        <w:t xml:space="preserve">e was appointed Judge of the Superior Court and </w:t>
      </w:r>
      <w:proofErr w:type="gramStart"/>
      <w:r w:rsidRPr="005138C1">
        <w:rPr>
          <w:rFonts w:cstheme="minorHAnsi"/>
          <w:sz w:val="24"/>
          <w:szCs w:val="24"/>
        </w:rPr>
        <w:t>continued on</w:t>
      </w:r>
      <w:proofErr w:type="gramEnd"/>
      <w:r w:rsidRPr="005138C1">
        <w:rPr>
          <w:rFonts w:cstheme="minorHAnsi"/>
          <w:sz w:val="24"/>
          <w:szCs w:val="24"/>
        </w:rPr>
        <w:t xml:space="preserve"> the bench until his death in Dedham</w:t>
      </w:r>
      <w:r>
        <w:rPr>
          <w:rFonts w:cstheme="minorHAnsi"/>
          <w:sz w:val="24"/>
          <w:szCs w:val="24"/>
        </w:rPr>
        <w:t xml:space="preserve"> on</w:t>
      </w:r>
      <w:r w:rsidRPr="005138C1">
        <w:rPr>
          <w:rFonts w:cstheme="minorHAnsi"/>
          <w:sz w:val="24"/>
          <w:szCs w:val="24"/>
        </w:rPr>
        <w:t xml:space="preserve"> 6 February 1882.</w:t>
      </w:r>
    </w:p>
    <w:p w14:paraId="60D19337" w14:textId="1F1F0669" w:rsidR="00163562" w:rsidRPr="00231163" w:rsidRDefault="00163562" w:rsidP="00163562">
      <w:pPr>
        <w:autoSpaceDE w:val="0"/>
        <w:autoSpaceDN w:val="0"/>
        <w:adjustRightInd w:val="0"/>
        <w:spacing w:after="120" w:line="240" w:lineRule="auto"/>
        <w:rPr>
          <w:rFonts w:cstheme="minorHAnsi"/>
          <w:color w:val="555340"/>
          <w:sz w:val="24"/>
          <w:szCs w:val="24"/>
        </w:rPr>
      </w:pPr>
      <w:r>
        <w:rPr>
          <w:rFonts w:cstheme="minorHAnsi"/>
          <w:color w:val="0B0400"/>
          <w:sz w:val="24"/>
          <w:szCs w:val="24"/>
        </w:rPr>
        <w:t>Judge Wilkinson was an avid book collector and a lifelong bachelor. He related that he still owned every pair of boots he had ever bought over 40 years, averring that if a pair ever went out of style, it was sure to come back into it in time.</w:t>
      </w:r>
      <w:r w:rsidRPr="00D30AE1">
        <w:rPr>
          <w:rStyle w:val="FootnoteReference"/>
          <w:rFonts w:cstheme="minorHAnsi"/>
          <w:color w:val="0B0400"/>
          <w:sz w:val="24"/>
          <w:szCs w:val="24"/>
        </w:rPr>
        <w:footnoteReference w:id="28"/>
      </w:r>
      <w:r>
        <w:rPr>
          <w:rFonts w:cstheme="minorHAnsi"/>
          <w:color w:val="0B0400"/>
          <w:sz w:val="24"/>
          <w:szCs w:val="24"/>
        </w:rPr>
        <w:t xml:space="preserve"> When his book collection was sold in a four-day auction in Boston in September 1882, the catalog was 134 pages long, containing 2577 items.</w:t>
      </w:r>
      <w:r>
        <w:rPr>
          <w:rStyle w:val="FootnoteReference"/>
          <w:rFonts w:cstheme="minorHAnsi"/>
          <w:color w:val="0B0400"/>
          <w:sz w:val="24"/>
          <w:szCs w:val="24"/>
        </w:rPr>
        <w:footnoteReference w:id="29"/>
      </w:r>
      <w:r>
        <w:rPr>
          <w:rFonts w:cstheme="minorHAnsi"/>
          <w:color w:val="0B0400"/>
          <w:sz w:val="24"/>
          <w:szCs w:val="24"/>
        </w:rPr>
        <w:t xml:space="preserve"> Many of these pamphlets and tomes, of course, were purchased after John King</w:t>
      </w:r>
      <w:r w:rsidR="003C6F8E">
        <w:rPr>
          <w:rFonts w:cstheme="minorHAnsi"/>
          <w:color w:val="0B0400"/>
          <w:sz w:val="24"/>
          <w:szCs w:val="24"/>
        </w:rPr>
        <w:t>’</w:t>
      </w:r>
      <w:r>
        <w:rPr>
          <w:rFonts w:cstheme="minorHAnsi"/>
          <w:color w:val="0B0400"/>
          <w:sz w:val="24"/>
          <w:szCs w:val="24"/>
        </w:rPr>
        <w:t>s time in his office. Many of them were classics, and some dated to the 16</w:t>
      </w:r>
      <w:r w:rsidRPr="00CE4AB6">
        <w:rPr>
          <w:rFonts w:cstheme="minorHAnsi"/>
          <w:color w:val="0B0400"/>
          <w:sz w:val="24"/>
          <w:szCs w:val="24"/>
          <w:vertAlign w:val="superscript"/>
        </w:rPr>
        <w:t>th</w:t>
      </w:r>
      <w:r>
        <w:rPr>
          <w:rFonts w:cstheme="minorHAnsi"/>
          <w:color w:val="0B0400"/>
          <w:sz w:val="24"/>
          <w:szCs w:val="24"/>
        </w:rPr>
        <w:t xml:space="preserve"> </w:t>
      </w:r>
      <w:r w:rsidR="00797C1D">
        <w:rPr>
          <w:rFonts w:cstheme="minorHAnsi"/>
          <w:color w:val="0B0400"/>
          <w:sz w:val="24"/>
          <w:szCs w:val="24"/>
        </w:rPr>
        <w:t>C</w:t>
      </w:r>
      <w:r>
        <w:rPr>
          <w:rFonts w:cstheme="minorHAnsi"/>
          <w:color w:val="0B0400"/>
          <w:sz w:val="24"/>
          <w:szCs w:val="24"/>
        </w:rPr>
        <w:t>entury. Wilkinson</w:t>
      </w:r>
      <w:r w:rsidR="003C6F8E">
        <w:rPr>
          <w:rFonts w:cstheme="minorHAnsi"/>
          <w:color w:val="0B0400"/>
          <w:sz w:val="24"/>
          <w:szCs w:val="24"/>
        </w:rPr>
        <w:t>’</w:t>
      </w:r>
      <w:r>
        <w:rPr>
          <w:rFonts w:cstheme="minorHAnsi"/>
          <w:color w:val="0B0400"/>
          <w:sz w:val="24"/>
          <w:szCs w:val="24"/>
        </w:rPr>
        <w:t>s bibliophilic influence may be seen in John King</w:t>
      </w:r>
      <w:r w:rsidR="003C6F8E">
        <w:rPr>
          <w:rFonts w:cstheme="minorHAnsi"/>
          <w:color w:val="0B0400"/>
          <w:sz w:val="24"/>
          <w:szCs w:val="24"/>
        </w:rPr>
        <w:t>’</w:t>
      </w:r>
      <w:r>
        <w:rPr>
          <w:rFonts w:cstheme="minorHAnsi"/>
          <w:color w:val="0B0400"/>
          <w:sz w:val="24"/>
          <w:szCs w:val="24"/>
        </w:rPr>
        <w:t>s proprietorship of the 800-volume circulating library housed in King</w:t>
      </w:r>
      <w:r w:rsidR="003C6F8E">
        <w:rPr>
          <w:rFonts w:cstheme="minorHAnsi"/>
          <w:color w:val="0B0400"/>
          <w:sz w:val="24"/>
          <w:szCs w:val="24"/>
        </w:rPr>
        <w:t>’</w:t>
      </w:r>
      <w:r>
        <w:rPr>
          <w:rFonts w:cstheme="minorHAnsi"/>
          <w:color w:val="0B0400"/>
          <w:sz w:val="24"/>
          <w:szCs w:val="24"/>
        </w:rPr>
        <w:t>s Elgin law office in the late 1850s.</w:t>
      </w:r>
    </w:p>
    <w:p w14:paraId="63098809" w14:textId="7BE62DD1" w:rsidR="00163562" w:rsidRDefault="00163562" w:rsidP="00163562">
      <w:pPr>
        <w:autoSpaceDE w:val="0"/>
        <w:autoSpaceDN w:val="0"/>
        <w:adjustRightInd w:val="0"/>
        <w:spacing w:after="120" w:line="240" w:lineRule="auto"/>
        <w:rPr>
          <w:rFonts w:cstheme="minorHAnsi"/>
          <w:sz w:val="24"/>
          <w:szCs w:val="24"/>
        </w:rPr>
      </w:pPr>
      <w:r>
        <w:rPr>
          <w:rFonts w:cstheme="minorHAnsi"/>
          <w:sz w:val="24"/>
          <w:szCs w:val="24"/>
        </w:rPr>
        <w:t xml:space="preserve">A John King Iowa obituary clipping of unknown </w:t>
      </w:r>
      <w:r w:rsidR="001D016E">
        <w:rPr>
          <w:rFonts w:cstheme="minorHAnsi"/>
          <w:sz w:val="24"/>
          <w:szCs w:val="24"/>
        </w:rPr>
        <w:t xml:space="preserve">date and </w:t>
      </w:r>
      <w:r>
        <w:rPr>
          <w:rFonts w:cstheme="minorHAnsi"/>
          <w:sz w:val="24"/>
          <w:szCs w:val="24"/>
        </w:rPr>
        <w:t>origin states that John King also studied law with Rufus Choate,</w:t>
      </w:r>
      <w:r>
        <w:rPr>
          <w:rStyle w:val="FootnoteReference"/>
          <w:rFonts w:cstheme="minorHAnsi"/>
          <w:sz w:val="24"/>
          <w:szCs w:val="24"/>
        </w:rPr>
        <w:footnoteReference w:id="30"/>
      </w:r>
      <w:r>
        <w:rPr>
          <w:rFonts w:cstheme="minorHAnsi"/>
          <w:sz w:val="24"/>
          <w:szCs w:val="24"/>
        </w:rPr>
        <w:t xml:space="preserve"> whose library contained 7,000 volumes. Choate was in the U.S. Senate from 1841-45. Choate did attend the Dane Law School in Cambridge in 1821, but his practice was primarily in Danvers, Salem, and Boston, though he was involved in cases tried in Dedham. Virtually all lawyers in the Boston area in the 1830</w:t>
      </w:r>
      <w:r w:rsidR="003C6F8E">
        <w:rPr>
          <w:rFonts w:cstheme="minorHAnsi"/>
          <w:sz w:val="24"/>
          <w:szCs w:val="24"/>
        </w:rPr>
        <w:t>’</w:t>
      </w:r>
      <w:r>
        <w:rPr>
          <w:rFonts w:cstheme="minorHAnsi"/>
          <w:sz w:val="24"/>
          <w:szCs w:val="24"/>
        </w:rPr>
        <w:t>s and 1840</w:t>
      </w:r>
      <w:r w:rsidR="003C6F8E">
        <w:rPr>
          <w:rFonts w:cstheme="minorHAnsi"/>
          <w:sz w:val="24"/>
          <w:szCs w:val="24"/>
        </w:rPr>
        <w:t>’</w:t>
      </w:r>
      <w:r>
        <w:rPr>
          <w:rFonts w:cstheme="minorHAnsi"/>
          <w:sz w:val="24"/>
          <w:szCs w:val="24"/>
        </w:rPr>
        <w:t>s no doubt at least heard Choate plead a case in a courtroom. Whether John King</w:t>
      </w:r>
      <w:r w:rsidR="003C6F8E">
        <w:rPr>
          <w:rFonts w:cstheme="minorHAnsi"/>
          <w:sz w:val="24"/>
          <w:szCs w:val="24"/>
        </w:rPr>
        <w:t>’</w:t>
      </w:r>
      <w:r>
        <w:rPr>
          <w:rFonts w:cstheme="minorHAnsi"/>
          <w:sz w:val="24"/>
          <w:szCs w:val="24"/>
        </w:rPr>
        <w:t>s association with Choate was more than this has not been documented.</w:t>
      </w:r>
    </w:p>
    <w:p w14:paraId="7FB4A00D" w14:textId="15945E9D" w:rsidR="00163562" w:rsidRDefault="00163562" w:rsidP="00163562">
      <w:pPr>
        <w:autoSpaceDE w:val="0"/>
        <w:autoSpaceDN w:val="0"/>
        <w:adjustRightInd w:val="0"/>
        <w:spacing w:after="120" w:line="240" w:lineRule="auto"/>
        <w:rPr>
          <w:rFonts w:cstheme="minorHAnsi"/>
          <w:sz w:val="24"/>
          <w:szCs w:val="24"/>
        </w:rPr>
      </w:pPr>
      <w:r>
        <w:rPr>
          <w:rFonts w:cstheme="minorHAnsi"/>
          <w:sz w:val="24"/>
          <w:szCs w:val="24"/>
        </w:rPr>
        <w:t>John King</w:t>
      </w:r>
      <w:r w:rsidR="003C6F8E">
        <w:rPr>
          <w:rFonts w:cstheme="minorHAnsi"/>
          <w:sz w:val="24"/>
          <w:szCs w:val="24"/>
        </w:rPr>
        <w:t>’</w:t>
      </w:r>
      <w:r>
        <w:rPr>
          <w:rFonts w:cstheme="minorHAnsi"/>
          <w:sz w:val="24"/>
          <w:szCs w:val="24"/>
        </w:rPr>
        <w:t>s marriage and his and fledgling law practice in Dedham were both unsuccessful. John had become acquainted with Lucy Avery Bingham of Dedham, perhaps through a shared interest in music (their daughter Grace became a professional singer).</w:t>
      </w:r>
      <w:r>
        <w:rPr>
          <w:rStyle w:val="FootnoteReference"/>
          <w:rFonts w:cstheme="minorHAnsi"/>
          <w:sz w:val="24"/>
          <w:szCs w:val="24"/>
        </w:rPr>
        <w:footnoteReference w:id="31"/>
      </w:r>
      <w:r>
        <w:rPr>
          <w:rFonts w:cstheme="minorHAnsi"/>
          <w:sz w:val="24"/>
          <w:szCs w:val="24"/>
        </w:rPr>
        <w:t xml:space="preserve"> Six years younger than John, Lucy was the youngest of the seven children of Pliny and Jerusha Avery Bingham.</w:t>
      </w:r>
      <w:r>
        <w:rPr>
          <w:rStyle w:val="FootnoteReference"/>
          <w:rFonts w:cstheme="minorHAnsi"/>
          <w:sz w:val="24"/>
          <w:szCs w:val="24"/>
        </w:rPr>
        <w:footnoteReference w:id="32"/>
      </w:r>
      <w:r>
        <w:rPr>
          <w:rFonts w:cstheme="minorHAnsi"/>
          <w:sz w:val="24"/>
          <w:szCs w:val="24"/>
        </w:rPr>
        <w:t xml:space="preserve"> The </w:t>
      </w:r>
      <w:r>
        <w:rPr>
          <w:rFonts w:cstheme="minorHAnsi"/>
          <w:sz w:val="24"/>
          <w:szCs w:val="24"/>
        </w:rPr>
        <w:lastRenderedPageBreak/>
        <w:t>first Bingham (Thomas) came to Norwich CT before 1696, and the Avery family of England arrived in Dedham before 1690.</w:t>
      </w:r>
      <w:r>
        <w:rPr>
          <w:rStyle w:val="FootnoteReference"/>
          <w:rFonts w:cstheme="minorHAnsi"/>
          <w:sz w:val="24"/>
          <w:szCs w:val="24"/>
        </w:rPr>
        <w:footnoteReference w:id="33"/>
      </w:r>
    </w:p>
    <w:p w14:paraId="4F6D0A4F" w14:textId="45F528E5" w:rsidR="00163562" w:rsidRDefault="00163562" w:rsidP="00163562">
      <w:pPr>
        <w:autoSpaceDE w:val="0"/>
        <w:autoSpaceDN w:val="0"/>
        <w:adjustRightInd w:val="0"/>
        <w:spacing w:after="120" w:line="240" w:lineRule="auto"/>
        <w:rPr>
          <w:rFonts w:cstheme="minorHAnsi"/>
          <w:sz w:val="24"/>
          <w:szCs w:val="24"/>
        </w:rPr>
      </w:pPr>
      <w:r>
        <w:rPr>
          <w:rFonts w:cstheme="minorHAnsi"/>
          <w:sz w:val="24"/>
          <w:szCs w:val="24"/>
        </w:rPr>
        <w:t>John and Lucy were married in Dedham on 14 Dec</w:t>
      </w:r>
      <w:r w:rsidR="00D1657F">
        <w:rPr>
          <w:rFonts w:cstheme="minorHAnsi"/>
          <w:sz w:val="24"/>
          <w:szCs w:val="24"/>
        </w:rPr>
        <w:t>ember</w:t>
      </w:r>
      <w:r>
        <w:rPr>
          <w:rFonts w:cstheme="minorHAnsi"/>
          <w:sz w:val="24"/>
          <w:szCs w:val="24"/>
        </w:rPr>
        <w:t xml:space="preserve"> 1843 by Dr. </w:t>
      </w:r>
      <w:proofErr w:type="spellStart"/>
      <w:r>
        <w:rPr>
          <w:rFonts w:cstheme="minorHAnsi"/>
          <w:sz w:val="24"/>
          <w:szCs w:val="24"/>
        </w:rPr>
        <w:t>Eben</w:t>
      </w:r>
      <w:proofErr w:type="spellEnd"/>
      <w:r>
        <w:rPr>
          <w:rFonts w:cstheme="minorHAnsi"/>
          <w:sz w:val="24"/>
          <w:szCs w:val="24"/>
        </w:rPr>
        <w:t xml:space="preserve"> Burgess.  The couple had two children. Their first child, Isabella, was born in Randolph</w:t>
      </w:r>
      <w:r w:rsidR="00D152CB">
        <w:rPr>
          <w:rFonts w:cstheme="minorHAnsi"/>
          <w:sz w:val="24"/>
          <w:szCs w:val="24"/>
        </w:rPr>
        <w:t>,</w:t>
      </w:r>
      <w:r>
        <w:rPr>
          <w:rFonts w:cstheme="minorHAnsi"/>
          <w:sz w:val="24"/>
          <w:szCs w:val="24"/>
        </w:rPr>
        <w:t xml:space="preserve"> MA</w:t>
      </w:r>
      <w:r w:rsidR="00C91ED3">
        <w:rPr>
          <w:rFonts w:cstheme="minorHAnsi"/>
          <w:sz w:val="24"/>
          <w:szCs w:val="24"/>
        </w:rPr>
        <w:t>,</w:t>
      </w:r>
      <w:r>
        <w:rPr>
          <w:rFonts w:cstheme="minorHAnsi"/>
          <w:sz w:val="24"/>
          <w:szCs w:val="24"/>
        </w:rPr>
        <w:t xml:space="preserve"> in January of 1845, and she died there in October of that same year.</w:t>
      </w:r>
      <w:r>
        <w:rPr>
          <w:rStyle w:val="FootnoteReference"/>
          <w:rFonts w:cstheme="minorHAnsi"/>
          <w:sz w:val="24"/>
          <w:szCs w:val="24"/>
        </w:rPr>
        <w:footnoteReference w:id="34"/>
      </w:r>
      <w:r>
        <w:rPr>
          <w:rFonts w:cstheme="minorHAnsi"/>
          <w:sz w:val="24"/>
          <w:szCs w:val="24"/>
        </w:rPr>
        <w:t xml:space="preserve"> In 1846, John King was listed as an attorney and Justice of the Peace in Randolph.</w:t>
      </w:r>
      <w:r>
        <w:rPr>
          <w:rStyle w:val="FootnoteReference"/>
          <w:rFonts w:cstheme="minorHAnsi"/>
          <w:sz w:val="24"/>
          <w:szCs w:val="24"/>
        </w:rPr>
        <w:footnoteReference w:id="35"/>
      </w:r>
      <w:r>
        <w:rPr>
          <w:rFonts w:cstheme="minorHAnsi"/>
          <w:sz w:val="24"/>
          <w:szCs w:val="24"/>
        </w:rPr>
        <w:t xml:space="preserve"> Grace Avery King was born in Randolph on 21 April 1847. By 1850 Lucy and Grace King were living with the widow Jerusha Bingham in Dedham.</w:t>
      </w:r>
      <w:r>
        <w:rPr>
          <w:rStyle w:val="FootnoteReference"/>
          <w:rFonts w:cstheme="minorHAnsi"/>
          <w:sz w:val="24"/>
          <w:szCs w:val="24"/>
        </w:rPr>
        <w:footnoteReference w:id="36"/>
      </w:r>
      <w:r>
        <w:rPr>
          <w:rFonts w:cstheme="minorHAnsi"/>
          <w:sz w:val="24"/>
          <w:szCs w:val="24"/>
        </w:rPr>
        <w:t xml:space="preserve"> Ten years later, mother and daughter were still living</w:t>
      </w:r>
      <w:r w:rsidR="00621A7A">
        <w:rPr>
          <w:rFonts w:cstheme="minorHAnsi"/>
          <w:sz w:val="24"/>
          <w:szCs w:val="24"/>
        </w:rPr>
        <w:t xml:space="preserve"> in Dedham</w:t>
      </w:r>
      <w:r>
        <w:rPr>
          <w:rFonts w:cstheme="minorHAnsi"/>
          <w:sz w:val="24"/>
          <w:szCs w:val="24"/>
        </w:rPr>
        <w:t xml:space="preserve"> with Jerusha. By 1880 Lucy Avery King </w:t>
      </w:r>
      <w:r w:rsidR="009951F8">
        <w:rPr>
          <w:rFonts w:cstheme="minorHAnsi"/>
          <w:sz w:val="24"/>
          <w:szCs w:val="24"/>
        </w:rPr>
        <w:t>lived</w:t>
      </w:r>
      <w:r>
        <w:rPr>
          <w:rFonts w:cstheme="minorHAnsi"/>
          <w:sz w:val="24"/>
          <w:szCs w:val="24"/>
        </w:rPr>
        <w:t xml:space="preserve"> with her older unmarried sister Amanda on East Street in Dedham and told the census taker that she was a widow. But this was an assumption, or at least a guess, if not merely a hope.</w:t>
      </w:r>
    </w:p>
    <w:p w14:paraId="25314EA5" w14:textId="74035152" w:rsidR="00163562" w:rsidRDefault="00163562" w:rsidP="00163562">
      <w:pPr>
        <w:autoSpaceDE w:val="0"/>
        <w:autoSpaceDN w:val="0"/>
        <w:adjustRightInd w:val="0"/>
        <w:spacing w:after="120" w:line="240" w:lineRule="auto"/>
        <w:rPr>
          <w:rFonts w:cstheme="minorHAnsi"/>
          <w:sz w:val="24"/>
          <w:szCs w:val="24"/>
        </w:rPr>
      </w:pPr>
      <w:r w:rsidRPr="005A66AC">
        <w:rPr>
          <w:rFonts w:cstheme="minorHAnsi"/>
          <w:sz w:val="24"/>
          <w:szCs w:val="24"/>
        </w:rPr>
        <w:t>Only a few glimpses of John Kin</w:t>
      </w:r>
      <w:r>
        <w:rPr>
          <w:rFonts w:cstheme="minorHAnsi"/>
          <w:sz w:val="24"/>
          <w:szCs w:val="24"/>
        </w:rPr>
        <w:t>g</w:t>
      </w:r>
      <w:r w:rsidR="003C6F8E">
        <w:rPr>
          <w:rFonts w:cstheme="minorHAnsi"/>
          <w:sz w:val="24"/>
          <w:szCs w:val="24"/>
        </w:rPr>
        <w:t>’</w:t>
      </w:r>
      <w:r w:rsidRPr="005A66AC">
        <w:rPr>
          <w:rFonts w:cstheme="minorHAnsi"/>
          <w:sz w:val="24"/>
          <w:szCs w:val="24"/>
        </w:rPr>
        <w:t>s life in the 1840</w:t>
      </w:r>
      <w:r>
        <w:rPr>
          <w:rFonts w:cstheme="minorHAnsi"/>
          <w:sz w:val="24"/>
          <w:szCs w:val="24"/>
        </w:rPr>
        <w:t>s</w:t>
      </w:r>
      <w:r w:rsidRPr="005A66AC">
        <w:rPr>
          <w:rFonts w:cstheme="minorHAnsi"/>
          <w:sz w:val="24"/>
          <w:szCs w:val="24"/>
        </w:rPr>
        <w:t xml:space="preserve"> have been found to date. That his family </w:t>
      </w:r>
      <w:r>
        <w:rPr>
          <w:rFonts w:cstheme="minorHAnsi"/>
          <w:sz w:val="24"/>
          <w:szCs w:val="24"/>
        </w:rPr>
        <w:t>was</w:t>
      </w:r>
      <w:r w:rsidRPr="005A66AC">
        <w:rPr>
          <w:rFonts w:cstheme="minorHAnsi"/>
          <w:sz w:val="24"/>
          <w:szCs w:val="24"/>
        </w:rPr>
        <w:t xml:space="preserve"> interested i</w:t>
      </w:r>
      <w:r>
        <w:rPr>
          <w:rFonts w:cstheme="minorHAnsi"/>
          <w:sz w:val="24"/>
          <w:szCs w:val="24"/>
        </w:rPr>
        <w:t>n</w:t>
      </w:r>
      <w:r w:rsidRPr="005A66AC">
        <w:rPr>
          <w:rFonts w:cstheme="minorHAnsi"/>
          <w:sz w:val="24"/>
          <w:szCs w:val="24"/>
        </w:rPr>
        <w:t xml:space="preserve"> music</w:t>
      </w:r>
      <w:r>
        <w:rPr>
          <w:rFonts w:cstheme="minorHAnsi"/>
          <w:sz w:val="24"/>
          <w:szCs w:val="24"/>
        </w:rPr>
        <w:t xml:space="preserve">, </w:t>
      </w:r>
      <w:r w:rsidRPr="005A66AC">
        <w:rPr>
          <w:rFonts w:cstheme="minorHAnsi"/>
          <w:sz w:val="24"/>
          <w:szCs w:val="24"/>
        </w:rPr>
        <w:t>and more specifically</w:t>
      </w:r>
      <w:r>
        <w:rPr>
          <w:rFonts w:cstheme="minorHAnsi"/>
          <w:sz w:val="24"/>
          <w:szCs w:val="24"/>
        </w:rPr>
        <w:t>,</w:t>
      </w:r>
      <w:r w:rsidRPr="005A66AC">
        <w:rPr>
          <w:rFonts w:cstheme="minorHAnsi"/>
          <w:sz w:val="24"/>
          <w:szCs w:val="24"/>
        </w:rPr>
        <w:t xml:space="preserve"> vocal music is </w:t>
      </w:r>
      <w:r>
        <w:rPr>
          <w:rFonts w:cstheme="minorHAnsi"/>
          <w:sz w:val="24"/>
          <w:szCs w:val="24"/>
        </w:rPr>
        <w:t>evident</w:t>
      </w:r>
      <w:r w:rsidRPr="005A66AC">
        <w:rPr>
          <w:rFonts w:cstheme="minorHAnsi"/>
          <w:sz w:val="24"/>
          <w:szCs w:val="24"/>
        </w:rPr>
        <w:t xml:space="preserve">. John </w:t>
      </w:r>
      <w:r>
        <w:rPr>
          <w:rFonts w:cstheme="minorHAnsi"/>
          <w:sz w:val="24"/>
          <w:szCs w:val="24"/>
        </w:rPr>
        <w:t>remained</w:t>
      </w:r>
      <w:r w:rsidRPr="005A66AC">
        <w:rPr>
          <w:rFonts w:cstheme="minorHAnsi"/>
          <w:sz w:val="24"/>
          <w:szCs w:val="24"/>
        </w:rPr>
        <w:t xml:space="preserve"> an active</w:t>
      </w:r>
      <w:r>
        <w:rPr>
          <w:rFonts w:cstheme="minorHAnsi"/>
          <w:sz w:val="24"/>
          <w:szCs w:val="24"/>
        </w:rPr>
        <w:t xml:space="preserve"> member</w:t>
      </w:r>
      <w:r w:rsidRPr="005A66AC">
        <w:rPr>
          <w:rFonts w:cstheme="minorHAnsi"/>
          <w:sz w:val="24"/>
          <w:szCs w:val="24"/>
        </w:rPr>
        <w:t xml:space="preserve"> of the Stoughton Musical Society. </w:t>
      </w:r>
      <w:r w:rsidR="003C6F8E">
        <w:rPr>
          <w:rFonts w:cstheme="minorHAnsi"/>
          <w:sz w:val="24"/>
          <w:szCs w:val="24"/>
        </w:rPr>
        <w:t>“</w:t>
      </w:r>
      <w:r w:rsidRPr="005A66AC">
        <w:rPr>
          <w:rFonts w:cstheme="minorHAnsi"/>
          <w:sz w:val="24"/>
          <w:szCs w:val="24"/>
        </w:rPr>
        <w:t>At Stoughton, in Hayden</w:t>
      </w:r>
      <w:r w:rsidR="003C6F8E">
        <w:rPr>
          <w:rFonts w:cstheme="minorHAnsi"/>
          <w:sz w:val="24"/>
          <w:szCs w:val="24"/>
        </w:rPr>
        <w:t>’</w:t>
      </w:r>
      <w:r w:rsidRPr="005A66AC">
        <w:rPr>
          <w:rFonts w:cstheme="minorHAnsi"/>
          <w:sz w:val="24"/>
          <w:szCs w:val="24"/>
        </w:rPr>
        <w:t xml:space="preserve">s Hall, 1844, </w:t>
      </w:r>
      <w:r w:rsidR="00D1657F">
        <w:rPr>
          <w:rFonts w:cstheme="minorHAnsi"/>
          <w:sz w:val="24"/>
          <w:szCs w:val="24"/>
        </w:rPr>
        <w:t>25 December</w:t>
      </w:r>
      <w:r w:rsidRPr="005A66AC">
        <w:rPr>
          <w:rFonts w:cstheme="minorHAnsi"/>
          <w:sz w:val="24"/>
          <w:szCs w:val="24"/>
        </w:rPr>
        <w:t>, it was voted that the ladies be invited to sing with the Society, their suppers to be paid for by the Society, and also that a committee of one from each town be chosen to invite Trebles to sing with the Society, and Mr. Glover, of Stoughton; Morse, of Sharon; Morse, of Canton; King, of Randolph, and French, of Braintree, be the committee. Eleven candidates were nominated for membership</w:t>
      </w:r>
      <w:r>
        <w:rPr>
          <w:rFonts w:cstheme="minorHAnsi"/>
          <w:sz w:val="24"/>
          <w:szCs w:val="24"/>
        </w:rPr>
        <w:t>,</w:t>
      </w:r>
      <w:r w:rsidRPr="005A66AC">
        <w:rPr>
          <w:rFonts w:cstheme="minorHAnsi"/>
          <w:sz w:val="24"/>
          <w:szCs w:val="24"/>
        </w:rPr>
        <w:t xml:space="preserve"> and it was voted to sing from the </w:t>
      </w:r>
      <w:r w:rsidR="003C6F8E">
        <w:rPr>
          <w:rFonts w:cstheme="minorHAnsi"/>
          <w:sz w:val="24"/>
          <w:szCs w:val="24"/>
        </w:rPr>
        <w:t>“</w:t>
      </w:r>
      <w:r w:rsidRPr="005A66AC">
        <w:rPr>
          <w:rFonts w:cstheme="minorHAnsi"/>
          <w:sz w:val="24"/>
          <w:szCs w:val="24"/>
        </w:rPr>
        <w:t>Academy</w:t>
      </w:r>
      <w:r w:rsidR="003C6F8E">
        <w:rPr>
          <w:rFonts w:cstheme="minorHAnsi"/>
          <w:sz w:val="24"/>
          <w:szCs w:val="24"/>
        </w:rPr>
        <w:t>’</w:t>
      </w:r>
      <w:r w:rsidRPr="005A66AC">
        <w:rPr>
          <w:rFonts w:cstheme="minorHAnsi"/>
          <w:sz w:val="24"/>
          <w:szCs w:val="24"/>
        </w:rPr>
        <w:t>s Collection of Choruses,</w:t>
      </w:r>
      <w:r w:rsidR="003C6F8E">
        <w:rPr>
          <w:rFonts w:cstheme="minorHAnsi"/>
          <w:sz w:val="24"/>
          <w:szCs w:val="24"/>
        </w:rPr>
        <w:t>”</w:t>
      </w:r>
      <w:r w:rsidRPr="005A66AC">
        <w:rPr>
          <w:rFonts w:cstheme="minorHAnsi"/>
          <w:sz w:val="24"/>
          <w:szCs w:val="24"/>
        </w:rPr>
        <w:t xml:space="preserve"> and from </w:t>
      </w:r>
      <w:r w:rsidRPr="00F60F17">
        <w:rPr>
          <w:rFonts w:cstheme="minorHAnsi"/>
          <w:i/>
          <w:iCs/>
          <w:sz w:val="24"/>
          <w:szCs w:val="24"/>
        </w:rPr>
        <w:t>Billings &amp; Holden</w:t>
      </w:r>
      <w:r w:rsidR="003C6F8E">
        <w:rPr>
          <w:rFonts w:cstheme="minorHAnsi"/>
          <w:i/>
          <w:iCs/>
          <w:sz w:val="24"/>
          <w:szCs w:val="24"/>
        </w:rPr>
        <w:t>’</w:t>
      </w:r>
      <w:r w:rsidRPr="00F60F17">
        <w:rPr>
          <w:rFonts w:cstheme="minorHAnsi"/>
          <w:i/>
          <w:iCs/>
          <w:sz w:val="24"/>
          <w:szCs w:val="24"/>
        </w:rPr>
        <w:t>s Singing Book</w:t>
      </w:r>
      <w:r w:rsidRPr="005A66AC">
        <w:rPr>
          <w:rFonts w:cstheme="minorHAnsi"/>
          <w:sz w:val="24"/>
          <w:szCs w:val="24"/>
        </w:rPr>
        <w:t>.</w:t>
      </w:r>
      <w:r>
        <w:rPr>
          <w:rStyle w:val="FootnoteReference"/>
          <w:rFonts w:cstheme="minorHAnsi"/>
          <w:sz w:val="24"/>
          <w:szCs w:val="24"/>
        </w:rPr>
        <w:footnoteReference w:id="37"/>
      </w:r>
      <w:r>
        <w:rPr>
          <w:rFonts w:cstheme="minorHAnsi"/>
          <w:sz w:val="24"/>
          <w:szCs w:val="24"/>
        </w:rPr>
        <w:t xml:space="preserve"> The motion to add soprano voices may have been purely based on musical considerations, but the minutes do not allude to any discussion.</w:t>
      </w:r>
      <w:r>
        <w:rPr>
          <w:rStyle w:val="FootnoteReference"/>
          <w:rFonts w:cstheme="minorHAnsi"/>
          <w:sz w:val="24"/>
          <w:szCs w:val="24"/>
        </w:rPr>
        <w:footnoteReference w:id="38"/>
      </w:r>
    </w:p>
    <w:p w14:paraId="6FA2D087" w14:textId="57D9B0FB" w:rsidR="00163562" w:rsidRPr="00CC7CCE" w:rsidRDefault="00163562" w:rsidP="00163562">
      <w:pPr>
        <w:autoSpaceDE w:val="0"/>
        <w:autoSpaceDN w:val="0"/>
        <w:adjustRightInd w:val="0"/>
        <w:spacing w:after="120" w:line="240" w:lineRule="auto"/>
        <w:rPr>
          <w:rFonts w:cstheme="minorHAnsi"/>
          <w:sz w:val="24"/>
          <w:szCs w:val="24"/>
        </w:rPr>
      </w:pPr>
      <w:r>
        <w:rPr>
          <w:rFonts w:cstheme="minorHAnsi"/>
          <w:sz w:val="24"/>
          <w:szCs w:val="24"/>
        </w:rPr>
        <w:t xml:space="preserve">The </w:t>
      </w:r>
      <w:r w:rsidRPr="00CC7CCE">
        <w:rPr>
          <w:rFonts w:cstheme="minorHAnsi"/>
          <w:sz w:val="24"/>
          <w:szCs w:val="24"/>
        </w:rPr>
        <w:t xml:space="preserve">whereabouts </w:t>
      </w:r>
      <w:r>
        <w:rPr>
          <w:rFonts w:cstheme="minorHAnsi"/>
          <w:sz w:val="24"/>
          <w:szCs w:val="24"/>
        </w:rPr>
        <w:t>of John King</w:t>
      </w:r>
      <w:r w:rsidRPr="00CC7CCE">
        <w:rPr>
          <w:rFonts w:cstheme="minorHAnsi"/>
          <w:sz w:val="24"/>
          <w:szCs w:val="24"/>
        </w:rPr>
        <w:t xml:space="preserve"> during the census of 1850 has not been identified. In September of 1850</w:t>
      </w:r>
      <w:r>
        <w:rPr>
          <w:rFonts w:cstheme="minorHAnsi"/>
          <w:sz w:val="24"/>
          <w:szCs w:val="24"/>
        </w:rPr>
        <w:t>,</w:t>
      </w:r>
      <w:r w:rsidRPr="00CC7CCE">
        <w:rPr>
          <w:rFonts w:cstheme="minorHAnsi"/>
          <w:sz w:val="24"/>
          <w:szCs w:val="24"/>
        </w:rPr>
        <w:t xml:space="preserve"> Jon Wales, the Randolph Census Asst. Marshall found seven people living in the King home. At the top of the page was listed the widow Sarah Wales King, age 61. She doubtless was kin to the census taker. Equally </w:t>
      </w:r>
      <w:r>
        <w:rPr>
          <w:rFonts w:cstheme="minorHAnsi"/>
          <w:sz w:val="24"/>
          <w:szCs w:val="24"/>
        </w:rPr>
        <w:t>sure</w:t>
      </w:r>
      <w:r w:rsidRPr="00CC7CCE">
        <w:rPr>
          <w:rFonts w:cstheme="minorHAnsi"/>
          <w:sz w:val="24"/>
          <w:szCs w:val="24"/>
        </w:rPr>
        <w:t xml:space="preserve"> is that someone and probably nearly everyone on that page knew where John King was. No one spoke about it. At least nineteen of the forty-two persons enumerated on page 111 of the Norfolk County Census were either John</w:t>
      </w:r>
      <w:r w:rsidR="003C6F8E">
        <w:rPr>
          <w:rFonts w:cstheme="minorHAnsi"/>
          <w:sz w:val="24"/>
          <w:szCs w:val="24"/>
        </w:rPr>
        <w:t>’</w:t>
      </w:r>
      <w:r w:rsidRPr="00CC7CCE">
        <w:rPr>
          <w:rFonts w:cstheme="minorHAnsi"/>
          <w:sz w:val="24"/>
          <w:szCs w:val="24"/>
        </w:rPr>
        <w:t>s parent, sibling, niece, nephew, a sibling</w:t>
      </w:r>
      <w:r w:rsidR="003C6F8E">
        <w:rPr>
          <w:rFonts w:cstheme="minorHAnsi"/>
          <w:sz w:val="24"/>
          <w:szCs w:val="24"/>
        </w:rPr>
        <w:t>’</w:t>
      </w:r>
      <w:r w:rsidRPr="00CC7CCE">
        <w:rPr>
          <w:rFonts w:cstheme="minorHAnsi"/>
          <w:sz w:val="24"/>
          <w:szCs w:val="24"/>
        </w:rPr>
        <w:t>s spouse</w:t>
      </w:r>
      <w:r w:rsidR="007B60A4">
        <w:rPr>
          <w:rFonts w:cstheme="minorHAnsi"/>
          <w:sz w:val="24"/>
          <w:szCs w:val="24"/>
        </w:rPr>
        <w:t>,</w:t>
      </w:r>
      <w:r w:rsidRPr="00CC7CCE">
        <w:rPr>
          <w:rFonts w:cstheme="minorHAnsi"/>
          <w:sz w:val="24"/>
          <w:szCs w:val="24"/>
        </w:rPr>
        <w:t xml:space="preserve"> or other in-law</w:t>
      </w:r>
      <w:r w:rsidR="007B60A4">
        <w:rPr>
          <w:rFonts w:cstheme="minorHAnsi"/>
          <w:sz w:val="24"/>
          <w:szCs w:val="24"/>
        </w:rPr>
        <w:t>s</w:t>
      </w:r>
      <w:r w:rsidRPr="00CC7CCE">
        <w:rPr>
          <w:rFonts w:cstheme="minorHAnsi"/>
          <w:sz w:val="24"/>
          <w:szCs w:val="24"/>
        </w:rPr>
        <w:t>. Among them w</w:t>
      </w:r>
      <w:r>
        <w:rPr>
          <w:rFonts w:cstheme="minorHAnsi"/>
          <w:sz w:val="24"/>
          <w:szCs w:val="24"/>
        </w:rPr>
        <w:t>ere</w:t>
      </w:r>
      <w:r w:rsidRPr="00CC7CCE">
        <w:rPr>
          <w:rFonts w:cstheme="minorHAnsi"/>
          <w:sz w:val="24"/>
          <w:szCs w:val="24"/>
        </w:rPr>
        <w:t xml:space="preserve"> a lawyer, a boot cutter, a clerk, a teacher, and a butcher</w:t>
      </w:r>
      <w:r>
        <w:rPr>
          <w:rFonts w:cstheme="minorHAnsi"/>
          <w:sz w:val="24"/>
          <w:szCs w:val="24"/>
        </w:rPr>
        <w:t xml:space="preserve"> (John</w:t>
      </w:r>
      <w:r w:rsidR="003C6F8E">
        <w:rPr>
          <w:rFonts w:cstheme="minorHAnsi"/>
          <w:sz w:val="24"/>
          <w:szCs w:val="24"/>
        </w:rPr>
        <w:t>’</w:t>
      </w:r>
      <w:r>
        <w:rPr>
          <w:rFonts w:cstheme="minorHAnsi"/>
          <w:sz w:val="24"/>
          <w:szCs w:val="24"/>
        </w:rPr>
        <w:t>s brother Seth Turner King)</w:t>
      </w:r>
      <w:r w:rsidRPr="00CC7CCE">
        <w:rPr>
          <w:rFonts w:cstheme="minorHAnsi"/>
          <w:sz w:val="24"/>
          <w:szCs w:val="24"/>
        </w:rPr>
        <w:t>.</w:t>
      </w:r>
    </w:p>
    <w:p w14:paraId="6CDD5DD3" w14:textId="77777777" w:rsidR="00163562" w:rsidRDefault="00163562" w:rsidP="00163562">
      <w:pPr>
        <w:autoSpaceDE w:val="0"/>
        <w:autoSpaceDN w:val="0"/>
        <w:adjustRightInd w:val="0"/>
        <w:spacing w:after="120" w:line="240" w:lineRule="auto"/>
        <w:rPr>
          <w:rFonts w:cstheme="minorHAnsi"/>
          <w:sz w:val="24"/>
          <w:szCs w:val="24"/>
        </w:rPr>
      </w:pPr>
      <w:r>
        <w:rPr>
          <w:noProof/>
        </w:rPr>
        <w:lastRenderedPageBreak/>
        <w:drawing>
          <wp:inline distT="0" distB="0" distL="0" distR="0" wp14:anchorId="4C560A58" wp14:editId="1BD7B733">
            <wp:extent cx="5943600" cy="345376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453765"/>
                    </a:xfrm>
                    <a:prstGeom prst="rect">
                      <a:avLst/>
                    </a:prstGeom>
                  </pic:spPr>
                </pic:pic>
              </a:graphicData>
            </a:graphic>
          </wp:inline>
        </w:drawing>
      </w:r>
    </w:p>
    <w:p w14:paraId="0365580C" w14:textId="5B7B231D" w:rsidR="00163562" w:rsidRDefault="00163562" w:rsidP="00163562">
      <w:pPr>
        <w:autoSpaceDE w:val="0"/>
        <w:autoSpaceDN w:val="0"/>
        <w:adjustRightInd w:val="0"/>
        <w:spacing w:after="120" w:line="240" w:lineRule="auto"/>
        <w:rPr>
          <w:rFonts w:cstheme="minorHAnsi"/>
          <w:sz w:val="24"/>
          <w:szCs w:val="24"/>
        </w:rPr>
      </w:pPr>
      <w:r>
        <w:rPr>
          <w:rFonts w:cstheme="minorHAnsi"/>
          <w:sz w:val="24"/>
          <w:szCs w:val="24"/>
        </w:rPr>
        <w:t>From the musical community</w:t>
      </w:r>
      <w:r w:rsidR="003C6F8E">
        <w:rPr>
          <w:rFonts w:cstheme="minorHAnsi"/>
          <w:sz w:val="24"/>
          <w:szCs w:val="24"/>
        </w:rPr>
        <w:t>’</w:t>
      </w:r>
      <w:r>
        <w:rPr>
          <w:rFonts w:cstheme="minorHAnsi"/>
          <w:sz w:val="24"/>
          <w:szCs w:val="24"/>
        </w:rPr>
        <w:t>s records John King, Esq. can be placed in Randolph. The Battles family was part of the music scene. Winslow Battles</w:t>
      </w:r>
      <w:r w:rsidR="003C6F8E">
        <w:rPr>
          <w:rFonts w:cstheme="minorHAnsi"/>
          <w:sz w:val="24"/>
          <w:szCs w:val="24"/>
        </w:rPr>
        <w:t>’</w:t>
      </w:r>
      <w:r>
        <w:rPr>
          <w:rFonts w:cstheme="minorHAnsi"/>
          <w:sz w:val="24"/>
          <w:szCs w:val="24"/>
        </w:rPr>
        <w:t xml:space="preserve"> brothers Jonathan and Dean were teachers before they joined the family boot business in Milton. Caroline Battles, the daughter of Jonathan and niece of Winslow, was a 32-year-old piano teacher in Boston in 1873 and living with her parents. Twenty-seven years later, she was still single and living in Boston on Dudley Street with her cousin Samuel Pierce.</w:t>
      </w:r>
      <w:r>
        <w:rPr>
          <w:rStyle w:val="FootnoteReference"/>
          <w:rFonts w:cstheme="minorHAnsi"/>
          <w:sz w:val="24"/>
          <w:szCs w:val="24"/>
        </w:rPr>
        <w:footnoteReference w:id="39"/>
      </w:r>
    </w:p>
    <w:p w14:paraId="61EF8984" w14:textId="77777777" w:rsidR="00163562" w:rsidRPr="00576097" w:rsidRDefault="00163562" w:rsidP="00163562">
      <w:pPr>
        <w:autoSpaceDE w:val="0"/>
        <w:autoSpaceDN w:val="0"/>
        <w:adjustRightInd w:val="0"/>
        <w:spacing w:after="0" w:line="240" w:lineRule="auto"/>
        <w:rPr>
          <w:rFonts w:cstheme="minorHAnsi"/>
          <w:i/>
          <w:iCs/>
          <w:sz w:val="28"/>
          <w:szCs w:val="28"/>
          <w:u w:val="single"/>
        </w:rPr>
      </w:pPr>
      <w:r w:rsidRPr="00576097">
        <w:rPr>
          <w:rFonts w:cstheme="minorHAnsi"/>
          <w:i/>
          <w:iCs/>
          <w:sz w:val="28"/>
          <w:szCs w:val="28"/>
          <w:u w:val="single"/>
        </w:rPr>
        <w:t>Rockland, ME</w:t>
      </w:r>
    </w:p>
    <w:p w14:paraId="3D7B7FE5" w14:textId="5834AF12" w:rsidR="00163562" w:rsidRDefault="00163562" w:rsidP="00163562">
      <w:pPr>
        <w:autoSpaceDE w:val="0"/>
        <w:autoSpaceDN w:val="0"/>
        <w:adjustRightInd w:val="0"/>
        <w:spacing w:after="0" w:line="240" w:lineRule="auto"/>
        <w:rPr>
          <w:rFonts w:cstheme="minorHAnsi"/>
          <w:sz w:val="24"/>
          <w:szCs w:val="24"/>
        </w:rPr>
      </w:pPr>
      <w:r>
        <w:rPr>
          <w:rFonts w:cstheme="minorHAnsi"/>
          <w:sz w:val="24"/>
          <w:szCs w:val="24"/>
        </w:rPr>
        <w:t>John King</w:t>
      </w:r>
      <w:r w:rsidR="003C6F8E">
        <w:rPr>
          <w:rFonts w:cstheme="minorHAnsi"/>
          <w:sz w:val="24"/>
          <w:szCs w:val="24"/>
        </w:rPr>
        <w:t>’</w:t>
      </w:r>
      <w:r>
        <w:rPr>
          <w:rFonts w:cstheme="minorHAnsi"/>
          <w:sz w:val="24"/>
          <w:szCs w:val="24"/>
        </w:rPr>
        <w:t xml:space="preserve">s whereabouts and activities in the 1850s are also incompletely known.   </w:t>
      </w:r>
    </w:p>
    <w:p w14:paraId="45E64018" w14:textId="3D5A8E3F" w:rsidR="00163562" w:rsidRDefault="00163562" w:rsidP="00163562">
      <w:pPr>
        <w:widowControl w:val="0"/>
        <w:autoSpaceDE w:val="0"/>
        <w:autoSpaceDN w:val="0"/>
        <w:adjustRightInd w:val="0"/>
        <w:spacing w:after="120" w:line="240" w:lineRule="auto"/>
        <w:rPr>
          <w:rFonts w:cstheme="minorHAnsi"/>
          <w:sz w:val="24"/>
          <w:szCs w:val="24"/>
        </w:rPr>
      </w:pPr>
      <w:r>
        <w:rPr>
          <w:rFonts w:cstheme="minorHAnsi"/>
          <w:sz w:val="24"/>
          <w:szCs w:val="24"/>
        </w:rPr>
        <w:t>In 1855 John King was a notary and Justice of the Peace in Rockland, Knox County, Maine.</w:t>
      </w:r>
      <w:r>
        <w:rPr>
          <w:rStyle w:val="FootnoteReference"/>
          <w:rFonts w:cstheme="minorHAnsi"/>
          <w:sz w:val="24"/>
          <w:szCs w:val="24"/>
        </w:rPr>
        <w:footnoteReference w:id="40"/>
      </w:r>
      <w:r>
        <w:rPr>
          <w:rFonts w:cstheme="minorHAnsi"/>
          <w:sz w:val="24"/>
          <w:szCs w:val="24"/>
        </w:rPr>
        <w:t xml:space="preserve"> In 1850 a sixteen-year-old named Ruth J. Battles was living in South Thomaston, Maine, about 3 miles southeast of Rockland with her parents and two brothers.</w:t>
      </w:r>
      <w:r>
        <w:rPr>
          <w:rStyle w:val="FootnoteReference"/>
          <w:rFonts w:cstheme="minorHAnsi"/>
          <w:sz w:val="24"/>
          <w:szCs w:val="24"/>
        </w:rPr>
        <w:footnoteReference w:id="41"/>
      </w:r>
      <w:r>
        <w:rPr>
          <w:rFonts w:cstheme="minorHAnsi"/>
          <w:sz w:val="24"/>
          <w:szCs w:val="24"/>
        </w:rPr>
        <w:t xml:space="preserve"> By June 1860, only parents William, Mary, and brother John R. Battles (</w:t>
      </w:r>
      <w:r w:rsidR="003C6F8E">
        <w:rPr>
          <w:rFonts w:cstheme="minorHAnsi"/>
          <w:sz w:val="24"/>
          <w:szCs w:val="24"/>
        </w:rPr>
        <w:t>“</w:t>
      </w:r>
      <w:r>
        <w:rPr>
          <w:rFonts w:cstheme="minorHAnsi"/>
          <w:sz w:val="24"/>
          <w:szCs w:val="24"/>
        </w:rPr>
        <w:t>idiotic</w:t>
      </w:r>
      <w:r w:rsidR="003C6F8E">
        <w:rPr>
          <w:rFonts w:cstheme="minorHAnsi"/>
          <w:sz w:val="24"/>
          <w:szCs w:val="24"/>
        </w:rPr>
        <w:t>”</w:t>
      </w:r>
      <w:r>
        <w:rPr>
          <w:rFonts w:cstheme="minorHAnsi"/>
          <w:sz w:val="24"/>
          <w:szCs w:val="24"/>
        </w:rPr>
        <w:t xml:space="preserve"> by a census notation) remained in the household in South Thomaston. Their Post Office was Rockland, Maine.</w:t>
      </w:r>
      <w:r>
        <w:rPr>
          <w:rStyle w:val="FootnoteReference"/>
          <w:rFonts w:cstheme="minorHAnsi"/>
          <w:sz w:val="24"/>
          <w:szCs w:val="24"/>
        </w:rPr>
        <w:footnoteReference w:id="42"/>
      </w:r>
    </w:p>
    <w:p w14:paraId="2D35B2A2" w14:textId="74F4498E" w:rsidR="00163562" w:rsidRDefault="00163562" w:rsidP="00163562">
      <w:pPr>
        <w:widowControl w:val="0"/>
        <w:autoSpaceDE w:val="0"/>
        <w:autoSpaceDN w:val="0"/>
        <w:adjustRightInd w:val="0"/>
        <w:spacing w:after="120" w:line="240" w:lineRule="auto"/>
        <w:rPr>
          <w:rFonts w:cstheme="minorHAnsi"/>
          <w:color w:val="202122"/>
          <w:sz w:val="24"/>
          <w:szCs w:val="24"/>
          <w:shd w:val="clear" w:color="auto" w:fill="FFFFFF"/>
        </w:rPr>
      </w:pPr>
      <w:r w:rsidRPr="002C4A4B">
        <w:rPr>
          <w:rFonts w:cstheme="minorHAnsi"/>
          <w:sz w:val="24"/>
          <w:szCs w:val="24"/>
        </w:rPr>
        <w:t>Maine was a territory of the State of Massachusetts until 1820 when Maine became a free state under the provisions of the Missouri Compromise that paired its entry into the Union with Missouri</w:t>
      </w:r>
      <w:r w:rsidR="003C6F8E">
        <w:rPr>
          <w:rFonts w:cstheme="minorHAnsi"/>
          <w:sz w:val="24"/>
          <w:szCs w:val="24"/>
        </w:rPr>
        <w:t>’</w:t>
      </w:r>
      <w:r w:rsidRPr="002C4A4B">
        <w:rPr>
          <w:rFonts w:cstheme="minorHAnsi"/>
          <w:sz w:val="24"/>
          <w:szCs w:val="24"/>
        </w:rPr>
        <w:t xml:space="preserve">s. Missouri was admitted as a slave state. One of the participants in the debates surrounding the Missouri Compromise was Massachusetts Congressman Timothy Fuller (1778-1835), who declared: </w:t>
      </w:r>
      <w:r w:rsidR="003C6F8E">
        <w:rPr>
          <w:rFonts w:cstheme="minorHAnsi"/>
          <w:color w:val="202122"/>
          <w:sz w:val="24"/>
          <w:szCs w:val="24"/>
          <w:shd w:val="clear" w:color="auto" w:fill="FFFFFF"/>
        </w:rPr>
        <w:t>“</w:t>
      </w:r>
      <w:r w:rsidRPr="002C4A4B">
        <w:rPr>
          <w:rFonts w:cstheme="minorHAnsi"/>
          <w:color w:val="202122"/>
          <w:sz w:val="24"/>
          <w:szCs w:val="24"/>
          <w:shd w:val="clear" w:color="auto" w:fill="FFFFFF"/>
        </w:rPr>
        <w:t>the right and duty of Congress</w:t>
      </w:r>
      <w:r w:rsidR="003C6F8E">
        <w:rPr>
          <w:rFonts w:cstheme="minorHAnsi"/>
          <w:color w:val="202122"/>
          <w:sz w:val="24"/>
          <w:szCs w:val="24"/>
          <w:shd w:val="clear" w:color="auto" w:fill="FFFFFF"/>
        </w:rPr>
        <w:t>”</w:t>
      </w:r>
      <w:r w:rsidRPr="002C4A4B">
        <w:rPr>
          <w:rFonts w:cstheme="minorHAnsi"/>
          <w:color w:val="202122"/>
          <w:sz w:val="24"/>
          <w:szCs w:val="24"/>
          <w:shd w:val="clear" w:color="auto" w:fill="FFFFFF"/>
        </w:rPr>
        <w:t xml:space="preserve"> to restrict </w:t>
      </w:r>
      <w:r w:rsidR="003C6F8E">
        <w:rPr>
          <w:rFonts w:cstheme="minorHAnsi"/>
          <w:color w:val="202122"/>
          <w:sz w:val="24"/>
          <w:szCs w:val="24"/>
          <w:shd w:val="clear" w:color="auto" w:fill="FFFFFF"/>
        </w:rPr>
        <w:t>“</w:t>
      </w:r>
      <w:r w:rsidRPr="002C4A4B">
        <w:rPr>
          <w:rFonts w:cstheme="minorHAnsi"/>
          <w:color w:val="202122"/>
          <w:sz w:val="24"/>
          <w:szCs w:val="24"/>
          <w:shd w:val="clear" w:color="auto" w:fill="FFFFFF"/>
        </w:rPr>
        <w:t xml:space="preserve">the spread of the intolerable </w:t>
      </w:r>
      <w:r w:rsidRPr="002C4A4B">
        <w:rPr>
          <w:rFonts w:cstheme="minorHAnsi"/>
          <w:color w:val="202122"/>
          <w:sz w:val="24"/>
          <w:szCs w:val="24"/>
          <w:shd w:val="clear" w:color="auto" w:fill="FFFFFF"/>
        </w:rPr>
        <w:lastRenderedPageBreak/>
        <w:t>evil and the crying enormity of slavery.</w:t>
      </w:r>
      <w:r w:rsidR="003C6F8E">
        <w:rPr>
          <w:rFonts w:cstheme="minorHAnsi"/>
          <w:color w:val="202122"/>
          <w:sz w:val="24"/>
          <w:szCs w:val="24"/>
          <w:shd w:val="clear" w:color="auto" w:fill="FFFFFF"/>
        </w:rPr>
        <w:t>”</w:t>
      </w:r>
      <w:r w:rsidRPr="002C4A4B">
        <w:rPr>
          <w:rStyle w:val="FootnoteReference"/>
          <w:rFonts w:cstheme="minorHAnsi"/>
          <w:sz w:val="24"/>
          <w:szCs w:val="24"/>
        </w:rPr>
        <w:footnoteReference w:id="43"/>
      </w:r>
    </w:p>
    <w:p w14:paraId="0012C97F" w14:textId="154489E8" w:rsidR="00163562" w:rsidRDefault="00163562" w:rsidP="00163562">
      <w:pPr>
        <w:widowControl w:val="0"/>
        <w:autoSpaceDE w:val="0"/>
        <w:autoSpaceDN w:val="0"/>
        <w:adjustRightInd w:val="0"/>
        <w:spacing w:after="120" w:line="240" w:lineRule="auto"/>
        <w:rPr>
          <w:rFonts w:cstheme="minorHAnsi"/>
          <w:sz w:val="24"/>
          <w:szCs w:val="24"/>
        </w:rPr>
      </w:pPr>
      <w:r>
        <w:rPr>
          <w:rFonts w:cstheme="minorHAnsi"/>
          <w:sz w:val="24"/>
          <w:szCs w:val="24"/>
        </w:rPr>
        <w:t>Did John King, Esq., remove to Rockland Maine because Ruth Battles was there, or did he meet her in Rockland? The latter seems the far likelier. Although Battles families were present in Dedham since at least the mid-18</w:t>
      </w:r>
      <w:r w:rsidRPr="009A31BA">
        <w:rPr>
          <w:rFonts w:cstheme="minorHAnsi"/>
          <w:sz w:val="24"/>
          <w:szCs w:val="24"/>
          <w:vertAlign w:val="superscript"/>
        </w:rPr>
        <w:t>th</w:t>
      </w:r>
      <w:r>
        <w:rPr>
          <w:rFonts w:cstheme="minorHAnsi"/>
          <w:sz w:val="24"/>
          <w:szCs w:val="24"/>
        </w:rPr>
        <w:t xml:space="preserve"> </w:t>
      </w:r>
      <w:r w:rsidR="00797C1D">
        <w:rPr>
          <w:rFonts w:cstheme="minorHAnsi"/>
          <w:sz w:val="24"/>
          <w:szCs w:val="24"/>
        </w:rPr>
        <w:t>C</w:t>
      </w:r>
      <w:r>
        <w:rPr>
          <w:rFonts w:cstheme="minorHAnsi"/>
          <w:sz w:val="24"/>
          <w:szCs w:val="24"/>
        </w:rPr>
        <w:t>entury, no close connection has been found between the Battles who were King</w:t>
      </w:r>
      <w:r w:rsidR="003C6F8E">
        <w:rPr>
          <w:rFonts w:cstheme="minorHAnsi"/>
          <w:sz w:val="24"/>
          <w:szCs w:val="24"/>
        </w:rPr>
        <w:t>’</w:t>
      </w:r>
      <w:r>
        <w:rPr>
          <w:rFonts w:cstheme="minorHAnsi"/>
          <w:sz w:val="24"/>
          <w:szCs w:val="24"/>
        </w:rPr>
        <w:t>s Randolph acquaintances and the Maine Battles.</w:t>
      </w:r>
    </w:p>
    <w:p w14:paraId="6BC8BC0A" w14:textId="3A0B5B7C" w:rsidR="00163562" w:rsidRDefault="00163562" w:rsidP="00163562">
      <w:pPr>
        <w:widowControl w:val="0"/>
        <w:autoSpaceDE w:val="0"/>
        <w:autoSpaceDN w:val="0"/>
        <w:adjustRightInd w:val="0"/>
        <w:spacing w:after="120" w:line="240" w:lineRule="auto"/>
        <w:rPr>
          <w:rFonts w:cstheme="minorHAnsi"/>
          <w:sz w:val="24"/>
          <w:szCs w:val="24"/>
        </w:rPr>
      </w:pPr>
      <w:r>
        <w:rPr>
          <w:rFonts w:cstheme="minorHAnsi"/>
          <w:sz w:val="24"/>
          <w:szCs w:val="24"/>
        </w:rPr>
        <w:t xml:space="preserve">John King tried his hand as a merchant in Rockland, as the </w:t>
      </w:r>
      <w:r w:rsidRPr="00A36109">
        <w:rPr>
          <w:rFonts w:cstheme="minorHAnsi"/>
          <w:i/>
          <w:iCs/>
          <w:sz w:val="24"/>
          <w:szCs w:val="24"/>
        </w:rPr>
        <w:t>Gazette</w:t>
      </w:r>
      <w:r>
        <w:rPr>
          <w:rFonts w:cstheme="minorHAnsi"/>
          <w:sz w:val="24"/>
          <w:szCs w:val="24"/>
        </w:rPr>
        <w:t xml:space="preserve"> had numerous ads placed by him. Mostly his shop was referred to as </w:t>
      </w:r>
      <w:r w:rsidR="003C6F8E">
        <w:rPr>
          <w:rFonts w:cstheme="minorHAnsi"/>
          <w:sz w:val="24"/>
          <w:szCs w:val="24"/>
        </w:rPr>
        <w:t>“</w:t>
      </w:r>
      <w:r>
        <w:rPr>
          <w:rFonts w:cstheme="minorHAnsi"/>
          <w:sz w:val="24"/>
          <w:szCs w:val="24"/>
        </w:rPr>
        <w:t>The Music Depot</w:t>
      </w:r>
      <w:r w:rsidR="00654273">
        <w:rPr>
          <w:rFonts w:cstheme="minorHAnsi"/>
          <w:sz w:val="24"/>
          <w:szCs w:val="24"/>
        </w:rPr>
        <w:t>,</w:t>
      </w:r>
      <w:r w:rsidR="003C6F8E">
        <w:rPr>
          <w:rFonts w:cstheme="minorHAnsi"/>
          <w:sz w:val="24"/>
          <w:szCs w:val="24"/>
        </w:rPr>
        <w:t>”</w:t>
      </w:r>
      <w:r>
        <w:rPr>
          <w:rFonts w:cstheme="minorHAnsi"/>
          <w:sz w:val="24"/>
          <w:szCs w:val="24"/>
        </w:rPr>
        <w:t xml:space="preserve"> but he also sold firearms and fishing tackle in addition to books. The 1856 celebration of the 4</w:t>
      </w:r>
      <w:r w:rsidRPr="003F3E6A">
        <w:rPr>
          <w:rFonts w:cstheme="minorHAnsi"/>
          <w:sz w:val="24"/>
          <w:szCs w:val="24"/>
          <w:vertAlign w:val="superscript"/>
        </w:rPr>
        <w:t>th</w:t>
      </w:r>
      <w:r>
        <w:rPr>
          <w:rFonts w:cstheme="minorHAnsi"/>
          <w:sz w:val="24"/>
          <w:szCs w:val="24"/>
        </w:rPr>
        <w:t xml:space="preserve"> of July was </w:t>
      </w:r>
      <w:r w:rsidR="003C6F8E">
        <w:rPr>
          <w:rFonts w:cstheme="minorHAnsi"/>
          <w:sz w:val="24"/>
          <w:szCs w:val="24"/>
        </w:rPr>
        <w:t>“</w:t>
      </w:r>
      <w:r>
        <w:rPr>
          <w:rFonts w:cstheme="minorHAnsi"/>
          <w:sz w:val="24"/>
          <w:szCs w:val="24"/>
        </w:rPr>
        <w:t>the most extensive celebration which ever took place here.</w:t>
      </w:r>
      <w:r w:rsidR="003C6F8E">
        <w:rPr>
          <w:rFonts w:cstheme="minorHAnsi"/>
          <w:sz w:val="24"/>
          <w:szCs w:val="24"/>
        </w:rPr>
        <w:t>”</w:t>
      </w:r>
      <w:r>
        <w:rPr>
          <w:rFonts w:cstheme="minorHAnsi"/>
          <w:sz w:val="24"/>
          <w:szCs w:val="24"/>
        </w:rPr>
        <w:t xml:space="preserve"> John King handled the pyrotechnics.</w:t>
      </w:r>
      <w:r>
        <w:rPr>
          <w:rStyle w:val="FootnoteReference"/>
          <w:rFonts w:cstheme="minorHAnsi"/>
          <w:sz w:val="24"/>
          <w:szCs w:val="24"/>
        </w:rPr>
        <w:footnoteReference w:id="44"/>
      </w:r>
      <w:r>
        <w:rPr>
          <w:rFonts w:cstheme="minorHAnsi"/>
          <w:sz w:val="24"/>
          <w:szCs w:val="24"/>
        </w:rPr>
        <w:t xml:space="preserve">  Apparently</w:t>
      </w:r>
      <w:r w:rsidR="0017472E">
        <w:rPr>
          <w:rFonts w:cstheme="minorHAnsi"/>
          <w:sz w:val="24"/>
          <w:szCs w:val="24"/>
        </w:rPr>
        <w:t>,</w:t>
      </w:r>
      <w:r>
        <w:rPr>
          <w:rFonts w:cstheme="minorHAnsi"/>
          <w:sz w:val="24"/>
          <w:szCs w:val="24"/>
        </w:rPr>
        <w:t xml:space="preserve"> his association with John </w:t>
      </w:r>
      <w:r w:rsidR="003C6F8E">
        <w:rPr>
          <w:rFonts w:cstheme="minorHAnsi"/>
          <w:sz w:val="24"/>
          <w:szCs w:val="24"/>
        </w:rPr>
        <w:t>“</w:t>
      </w:r>
      <w:r>
        <w:rPr>
          <w:rFonts w:cstheme="minorHAnsi"/>
          <w:sz w:val="24"/>
          <w:szCs w:val="24"/>
        </w:rPr>
        <w:t>Skyrocket Jack Webster</w:t>
      </w:r>
      <w:r w:rsidR="003C6F8E">
        <w:rPr>
          <w:rFonts w:cstheme="minorHAnsi"/>
          <w:sz w:val="24"/>
          <w:szCs w:val="24"/>
        </w:rPr>
        <w:t>”</w:t>
      </w:r>
      <w:r>
        <w:rPr>
          <w:rFonts w:cstheme="minorHAnsi"/>
          <w:sz w:val="24"/>
          <w:szCs w:val="24"/>
        </w:rPr>
        <w:t xml:space="preserve"> </w:t>
      </w:r>
      <w:r w:rsidR="0017472E">
        <w:rPr>
          <w:rFonts w:cstheme="minorHAnsi"/>
          <w:sz w:val="24"/>
          <w:szCs w:val="24"/>
        </w:rPr>
        <w:t xml:space="preserve">had </w:t>
      </w:r>
      <w:r>
        <w:rPr>
          <w:rFonts w:cstheme="minorHAnsi"/>
          <w:sz w:val="24"/>
          <w:szCs w:val="24"/>
        </w:rPr>
        <w:t>resulted in some skill acquisition.</w:t>
      </w:r>
    </w:p>
    <w:p w14:paraId="0EE2C09A" w14:textId="77777777" w:rsidR="00163562" w:rsidRDefault="00163562" w:rsidP="00163562">
      <w:pPr>
        <w:widowControl w:val="0"/>
        <w:autoSpaceDE w:val="0"/>
        <w:autoSpaceDN w:val="0"/>
        <w:adjustRightInd w:val="0"/>
        <w:spacing w:after="120" w:line="240" w:lineRule="auto"/>
        <w:rPr>
          <w:rFonts w:cstheme="minorHAnsi"/>
          <w:sz w:val="24"/>
          <w:szCs w:val="24"/>
          <w:shd w:val="clear" w:color="auto" w:fill="FFFFFF"/>
        </w:rPr>
      </w:pPr>
      <w:r w:rsidRPr="006614FC">
        <w:rPr>
          <w:rFonts w:cstheme="minorHAnsi"/>
          <w:sz w:val="24"/>
          <w:szCs w:val="24"/>
        </w:rPr>
        <w:t xml:space="preserve">What </w:t>
      </w:r>
      <w:r>
        <w:rPr>
          <w:rFonts w:cstheme="minorHAnsi"/>
          <w:sz w:val="24"/>
          <w:szCs w:val="24"/>
        </w:rPr>
        <w:t>did</w:t>
      </w:r>
      <w:r w:rsidRPr="006614FC">
        <w:rPr>
          <w:rFonts w:cstheme="minorHAnsi"/>
          <w:sz w:val="24"/>
          <w:szCs w:val="24"/>
        </w:rPr>
        <w:t xml:space="preserve"> lead John King to R</w:t>
      </w:r>
      <w:r>
        <w:rPr>
          <w:rFonts w:cstheme="minorHAnsi"/>
          <w:sz w:val="24"/>
          <w:szCs w:val="24"/>
        </w:rPr>
        <w:t>o</w:t>
      </w:r>
      <w:r w:rsidRPr="006614FC">
        <w:rPr>
          <w:rFonts w:cstheme="minorHAnsi"/>
          <w:sz w:val="24"/>
          <w:szCs w:val="24"/>
        </w:rPr>
        <w:t>ckland</w:t>
      </w:r>
      <w:r>
        <w:rPr>
          <w:rFonts w:cstheme="minorHAnsi"/>
          <w:sz w:val="24"/>
          <w:szCs w:val="24"/>
        </w:rPr>
        <w:t xml:space="preserve"> in the early 1850s</w:t>
      </w:r>
      <w:r w:rsidRPr="006614FC">
        <w:rPr>
          <w:rFonts w:cstheme="minorHAnsi"/>
          <w:sz w:val="24"/>
          <w:szCs w:val="24"/>
        </w:rPr>
        <w:t>?</w:t>
      </w:r>
      <w:r>
        <w:rPr>
          <w:rFonts w:cstheme="minorHAnsi"/>
          <w:sz w:val="24"/>
          <w:szCs w:val="24"/>
        </w:rPr>
        <w:t xml:space="preserve"> Did a specific attraction lure him there? Or was the stigma of a failed marriage into a prominent family the cause of his departure? </w:t>
      </w:r>
      <w:r w:rsidRPr="006614FC">
        <w:rPr>
          <w:rFonts w:cstheme="minorHAnsi"/>
          <w:sz w:val="24"/>
          <w:szCs w:val="24"/>
        </w:rPr>
        <w:t xml:space="preserve"> The </w:t>
      </w:r>
      <w:r>
        <w:rPr>
          <w:rFonts w:cstheme="minorHAnsi"/>
          <w:sz w:val="24"/>
          <w:szCs w:val="24"/>
        </w:rPr>
        <w:t xml:space="preserve">Rockland </w:t>
      </w:r>
      <w:r w:rsidRPr="006614FC">
        <w:rPr>
          <w:rFonts w:cstheme="minorHAnsi"/>
          <w:sz w:val="24"/>
          <w:szCs w:val="24"/>
        </w:rPr>
        <w:t xml:space="preserve">name had only </w:t>
      </w:r>
      <w:r>
        <w:rPr>
          <w:rFonts w:cstheme="minorHAnsi"/>
          <w:sz w:val="24"/>
          <w:szCs w:val="24"/>
        </w:rPr>
        <w:t xml:space="preserve">just </w:t>
      </w:r>
      <w:r w:rsidRPr="006614FC">
        <w:rPr>
          <w:rFonts w:cstheme="minorHAnsi"/>
          <w:sz w:val="24"/>
          <w:szCs w:val="24"/>
        </w:rPr>
        <w:t xml:space="preserve">been bestowed. </w:t>
      </w:r>
      <w:r w:rsidRPr="006614FC">
        <w:rPr>
          <w:rFonts w:cstheme="minorHAnsi"/>
          <w:sz w:val="24"/>
          <w:szCs w:val="24"/>
          <w:shd w:val="clear" w:color="auto" w:fill="FFFFFF"/>
        </w:rPr>
        <w:t>The town of East Thomaston separated from Thomaston in 1848 and changed its name to Rockland in 1850.</w:t>
      </w:r>
      <w:r>
        <w:rPr>
          <w:rFonts w:cstheme="minorHAnsi"/>
          <w:sz w:val="24"/>
          <w:szCs w:val="24"/>
          <w:shd w:val="clear" w:color="auto" w:fill="FFFFFF"/>
        </w:rPr>
        <w:t xml:space="preserve"> The city prospered as a port, an exporter of lime, and as a builder of ships. </w:t>
      </w:r>
    </w:p>
    <w:p w14:paraId="2C038387" w14:textId="56E7D5D5" w:rsidR="00163562" w:rsidRPr="00853B89" w:rsidRDefault="00163562" w:rsidP="00163562">
      <w:pPr>
        <w:widowControl w:val="0"/>
        <w:autoSpaceDE w:val="0"/>
        <w:autoSpaceDN w:val="0"/>
        <w:adjustRightInd w:val="0"/>
        <w:spacing w:after="120" w:line="240" w:lineRule="auto"/>
        <w:rPr>
          <w:rFonts w:cstheme="minorHAnsi"/>
          <w:sz w:val="24"/>
          <w:szCs w:val="24"/>
        </w:rPr>
      </w:pPr>
      <w:r>
        <w:rPr>
          <w:rFonts w:cstheme="minorHAnsi"/>
          <w:sz w:val="24"/>
          <w:szCs w:val="24"/>
          <w:shd w:val="clear" w:color="auto" w:fill="FFFFFF"/>
        </w:rPr>
        <w:t>By 1860 when Rockland became the shire town of the new County of Knox, a looming potential demand for legal services must have been long foreshadowed. But John King, Ruth Jane Battles King, and their three-year-old son John Reginald King (named after Ruth</w:t>
      </w:r>
      <w:r w:rsidR="003C6F8E">
        <w:rPr>
          <w:rFonts w:cstheme="minorHAnsi"/>
          <w:sz w:val="24"/>
          <w:szCs w:val="24"/>
          <w:shd w:val="clear" w:color="auto" w:fill="FFFFFF"/>
        </w:rPr>
        <w:t>’</w:t>
      </w:r>
      <w:r>
        <w:rPr>
          <w:rFonts w:cstheme="minorHAnsi"/>
          <w:sz w:val="24"/>
          <w:szCs w:val="24"/>
          <w:shd w:val="clear" w:color="auto" w:fill="FFFFFF"/>
        </w:rPr>
        <w:t xml:space="preserve">s older developmentally challenged brother) had left </w:t>
      </w:r>
      <w:r w:rsidR="003C6F8E">
        <w:rPr>
          <w:rFonts w:cstheme="minorHAnsi"/>
          <w:sz w:val="24"/>
          <w:szCs w:val="24"/>
          <w:shd w:val="clear" w:color="auto" w:fill="FFFFFF"/>
        </w:rPr>
        <w:t>“</w:t>
      </w:r>
      <w:r>
        <w:rPr>
          <w:rFonts w:cstheme="minorHAnsi"/>
          <w:sz w:val="24"/>
          <w:szCs w:val="24"/>
          <w:shd w:val="clear" w:color="auto" w:fill="FFFFFF"/>
        </w:rPr>
        <w:t>for the west</w:t>
      </w:r>
      <w:r w:rsidR="003C6F8E">
        <w:rPr>
          <w:rFonts w:cstheme="minorHAnsi"/>
          <w:sz w:val="24"/>
          <w:szCs w:val="24"/>
          <w:shd w:val="clear" w:color="auto" w:fill="FFFFFF"/>
        </w:rPr>
        <w:t>”</w:t>
      </w:r>
      <w:r>
        <w:rPr>
          <w:rFonts w:cstheme="minorHAnsi"/>
          <w:sz w:val="24"/>
          <w:szCs w:val="24"/>
          <w:shd w:val="clear" w:color="auto" w:fill="FFFFFF"/>
        </w:rPr>
        <w:t xml:space="preserve"> in 1857.</w:t>
      </w:r>
    </w:p>
    <w:p w14:paraId="1DD992A2" w14:textId="77777777" w:rsidR="00163562" w:rsidRDefault="00163562" w:rsidP="00163562">
      <w:pPr>
        <w:widowControl w:val="0"/>
        <w:autoSpaceDE w:val="0"/>
        <w:autoSpaceDN w:val="0"/>
        <w:adjustRightInd w:val="0"/>
        <w:spacing w:after="120" w:line="240" w:lineRule="auto"/>
        <w:rPr>
          <w:rFonts w:cstheme="minorHAnsi"/>
          <w:color w:val="202122"/>
          <w:sz w:val="24"/>
          <w:szCs w:val="24"/>
          <w:shd w:val="clear" w:color="auto" w:fill="FFFFFF"/>
        </w:rPr>
      </w:pPr>
      <w:r>
        <w:rPr>
          <w:rFonts w:cstheme="minorHAnsi"/>
          <w:color w:val="202122"/>
          <w:sz w:val="24"/>
          <w:szCs w:val="24"/>
          <w:shd w:val="clear" w:color="auto" w:fill="FFFFFF"/>
        </w:rPr>
        <w:t>No Massachusetts record has been found of a divorce for John King and Lucy Bingham. Neither has a Maine record of a marriage of John King and Ruth Battles been located. And no birth record has been found for John Reginald King, the son of John and Ruth Battles King. John Reginald King, born in Maine, was with his parents in Elgin, Illinois, in 1860, according to the U.S. Census.</w:t>
      </w:r>
    </w:p>
    <w:p w14:paraId="3EDB1A5B" w14:textId="279DF9CA" w:rsidR="00163562" w:rsidRDefault="00163562" w:rsidP="00163562">
      <w:pPr>
        <w:pStyle w:val="BodyText"/>
        <w:widowControl w:val="0"/>
        <w:kinsoku w:val="0"/>
        <w:overflowPunct w:val="0"/>
        <w:spacing w:after="120" w:line="240" w:lineRule="auto"/>
        <w:ind w:left="0"/>
        <w:rPr>
          <w:rFonts w:asciiTheme="minorHAnsi" w:hAnsiTheme="minorHAnsi" w:cstheme="minorHAnsi"/>
          <w:sz w:val="24"/>
          <w:szCs w:val="24"/>
          <w:shd w:val="clear" w:color="auto" w:fill="FFFFFF"/>
        </w:rPr>
      </w:pPr>
      <w:r w:rsidRPr="00BD3A73">
        <w:rPr>
          <w:rFonts w:asciiTheme="minorHAnsi" w:hAnsiTheme="minorHAnsi" w:cstheme="minorHAnsi"/>
          <w:sz w:val="24"/>
          <w:szCs w:val="24"/>
          <w:shd w:val="clear" w:color="auto" w:fill="FFFFFF"/>
        </w:rPr>
        <w:t>Timothy Fuller</w:t>
      </w:r>
      <w:r>
        <w:rPr>
          <w:rFonts w:asciiTheme="minorHAnsi" w:hAnsiTheme="minorHAnsi" w:cstheme="minorHAnsi"/>
          <w:sz w:val="24"/>
          <w:szCs w:val="24"/>
          <w:shd w:val="clear" w:color="auto" w:fill="FFFFFF"/>
        </w:rPr>
        <w:t xml:space="preserve"> (introduced earlier),</w:t>
      </w:r>
      <w:r w:rsidRPr="00BD3A73">
        <w:rPr>
          <w:rFonts w:asciiTheme="minorHAnsi" w:hAnsiTheme="minorHAnsi" w:cstheme="minorHAnsi"/>
          <w:sz w:val="24"/>
          <w:szCs w:val="24"/>
          <w:shd w:val="clear" w:color="auto" w:fill="FFFFFF"/>
        </w:rPr>
        <w:t xml:space="preserve"> like John King and his father John King, </w:t>
      </w:r>
      <w:r>
        <w:rPr>
          <w:rFonts w:asciiTheme="minorHAnsi" w:hAnsiTheme="minorHAnsi" w:cstheme="minorHAnsi"/>
          <w:sz w:val="24"/>
          <w:szCs w:val="24"/>
          <w:shd w:val="clear" w:color="auto" w:fill="FFFFFF"/>
        </w:rPr>
        <w:t xml:space="preserve">had </w:t>
      </w:r>
      <w:r w:rsidRPr="00BD3A73">
        <w:rPr>
          <w:rFonts w:asciiTheme="minorHAnsi" w:hAnsiTheme="minorHAnsi" w:cstheme="minorHAnsi"/>
          <w:sz w:val="24"/>
          <w:szCs w:val="24"/>
          <w:shd w:val="clear" w:color="auto" w:fill="FFFFFF"/>
        </w:rPr>
        <w:t>attended Harvard (class of 1801)</w:t>
      </w:r>
      <w:r>
        <w:rPr>
          <w:rFonts w:asciiTheme="minorHAnsi" w:hAnsiTheme="minorHAnsi" w:cstheme="minorHAnsi"/>
          <w:sz w:val="24"/>
          <w:szCs w:val="24"/>
          <w:shd w:val="clear" w:color="auto" w:fill="FFFFFF"/>
        </w:rPr>
        <w:t>,</w:t>
      </w:r>
      <w:r w:rsidRPr="00BD3A73">
        <w:rPr>
          <w:rFonts w:asciiTheme="minorHAnsi" w:hAnsiTheme="minorHAnsi" w:cstheme="minorHAnsi"/>
          <w:sz w:val="24"/>
          <w:szCs w:val="24"/>
          <w:shd w:val="clear" w:color="auto" w:fill="FFFFFF"/>
        </w:rPr>
        <w:t xml:space="preserve"> and all three became Massachusetts lawyers.</w:t>
      </w:r>
      <w:r>
        <w:rPr>
          <w:rFonts w:asciiTheme="minorHAnsi" w:hAnsiTheme="minorHAnsi" w:cstheme="minorHAnsi"/>
          <w:sz w:val="24"/>
          <w:szCs w:val="24"/>
          <w:shd w:val="clear" w:color="auto" w:fill="FFFFFF"/>
        </w:rPr>
        <w:t xml:space="preserve"> Two of Timothy</w:t>
      </w:r>
      <w:r w:rsidR="003C6F8E">
        <w:rPr>
          <w:rFonts w:asciiTheme="minorHAnsi" w:hAnsiTheme="minorHAnsi" w:cstheme="minorHAnsi"/>
          <w:sz w:val="24"/>
          <w:szCs w:val="24"/>
          <w:shd w:val="clear" w:color="auto" w:fill="FFFFFF"/>
        </w:rPr>
        <w:t>’</w:t>
      </w:r>
      <w:r>
        <w:rPr>
          <w:rFonts w:asciiTheme="minorHAnsi" w:hAnsiTheme="minorHAnsi" w:cstheme="minorHAnsi"/>
          <w:sz w:val="24"/>
          <w:szCs w:val="24"/>
          <w:shd w:val="clear" w:color="auto" w:fill="FFFFFF"/>
        </w:rPr>
        <w:t>s offspring, Margaret and Arthur, had traveled to the central Fox River Valley of Illinois a few years before the Kings left Maine for Elgin, Illinois. Like John King, the Fullers have historical ties to Geneva, Kane County</w:t>
      </w:r>
      <w:r w:rsidR="003C6F8E">
        <w:rPr>
          <w:rFonts w:asciiTheme="minorHAnsi" w:hAnsiTheme="minorHAnsi" w:cstheme="minorHAnsi"/>
          <w:sz w:val="24"/>
          <w:szCs w:val="24"/>
          <w:shd w:val="clear" w:color="auto" w:fill="FFFFFF"/>
        </w:rPr>
        <w:t>’</w:t>
      </w:r>
      <w:r>
        <w:rPr>
          <w:rFonts w:asciiTheme="minorHAnsi" w:hAnsiTheme="minorHAnsi" w:cstheme="minorHAnsi"/>
          <w:sz w:val="24"/>
          <w:szCs w:val="24"/>
          <w:shd w:val="clear" w:color="auto" w:fill="FFFFFF"/>
        </w:rPr>
        <w:t>s shire town.</w:t>
      </w:r>
      <w:r w:rsidRPr="00BD3A73">
        <w:rPr>
          <w:rFonts w:asciiTheme="minorHAnsi" w:hAnsiTheme="minorHAnsi" w:cstheme="minorHAnsi"/>
          <w:sz w:val="24"/>
          <w:szCs w:val="24"/>
          <w:shd w:val="clear" w:color="auto" w:fill="FFFFFF"/>
        </w:rPr>
        <w:t xml:space="preserve"> </w:t>
      </w:r>
    </w:p>
    <w:p w14:paraId="768EF62A" w14:textId="2C988EC2" w:rsidR="00163562" w:rsidRDefault="00163562" w:rsidP="00163562">
      <w:pPr>
        <w:pStyle w:val="BodyText"/>
        <w:widowControl w:val="0"/>
        <w:kinsoku w:val="0"/>
        <w:overflowPunct w:val="0"/>
        <w:spacing w:after="120" w:line="240" w:lineRule="auto"/>
        <w:ind w:left="0"/>
        <w:rPr>
          <w:rFonts w:asciiTheme="minorHAnsi" w:hAnsiTheme="minorHAnsi" w:cstheme="minorHAnsi"/>
          <w:w w:val="105"/>
          <w:sz w:val="24"/>
          <w:szCs w:val="24"/>
        </w:rPr>
      </w:pPr>
      <w:r>
        <w:rPr>
          <w:rFonts w:asciiTheme="minorHAnsi" w:hAnsiTheme="minorHAnsi" w:cstheme="minorHAnsi"/>
          <w:w w:val="105"/>
          <w:sz w:val="24"/>
          <w:szCs w:val="24"/>
        </w:rPr>
        <w:t>So little is known of John King</w:t>
      </w:r>
      <w:r w:rsidR="003C6F8E">
        <w:rPr>
          <w:rFonts w:asciiTheme="minorHAnsi" w:hAnsiTheme="minorHAnsi" w:cstheme="minorHAnsi"/>
          <w:w w:val="105"/>
          <w:sz w:val="24"/>
          <w:szCs w:val="24"/>
        </w:rPr>
        <w:t>’</w:t>
      </w:r>
      <w:r>
        <w:rPr>
          <w:rFonts w:asciiTheme="minorHAnsi" w:hAnsiTheme="minorHAnsi" w:cstheme="minorHAnsi"/>
          <w:w w:val="105"/>
          <w:sz w:val="24"/>
          <w:szCs w:val="24"/>
        </w:rPr>
        <w:t>s personality traits that temptation exists to examine those of his contemporaries who left behind more evidence. Timothy Fuller is an example.</w:t>
      </w:r>
      <w:r w:rsidRPr="00BD3A73">
        <w:rPr>
          <w:rFonts w:asciiTheme="minorHAnsi" w:hAnsiTheme="minorHAnsi" w:cstheme="minorHAnsi"/>
          <w:w w:val="105"/>
          <w:sz w:val="24"/>
          <w:szCs w:val="24"/>
        </w:rPr>
        <w:t xml:space="preserve"> </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For despite his arduous efforts to curb his appetite (</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especially;</w:t>
      </w:r>
      <w:r w:rsidR="003C6F8E">
        <w:rPr>
          <w:rFonts w:asciiTheme="minorHAnsi" w:hAnsiTheme="minorHAnsi" w:cstheme="minorHAnsi"/>
          <w:w w:val="105"/>
          <w:sz w:val="24"/>
          <w:szCs w:val="24"/>
        </w:rPr>
        <w:t>”</w:t>
      </w:r>
      <w:r>
        <w:rPr>
          <w:rFonts w:asciiTheme="minorHAnsi" w:hAnsiTheme="minorHAnsi" w:cstheme="minorHAnsi"/>
          <w:w w:val="105"/>
          <w:sz w:val="24"/>
          <w:szCs w:val="24"/>
        </w:rPr>
        <w:t xml:space="preserve"> </w:t>
      </w:r>
      <w:r w:rsidRPr="00BD3A73">
        <w:rPr>
          <w:rFonts w:asciiTheme="minorHAnsi" w:hAnsiTheme="minorHAnsi" w:cstheme="minorHAnsi"/>
          <w:w w:val="105"/>
          <w:sz w:val="24"/>
          <w:szCs w:val="24"/>
        </w:rPr>
        <w:t xml:space="preserve">he wrote his wife </w:t>
      </w:r>
      <w:r>
        <w:rPr>
          <w:rFonts w:asciiTheme="minorHAnsi" w:hAnsiTheme="minorHAnsi" w:cstheme="minorHAnsi"/>
          <w:w w:val="105"/>
          <w:sz w:val="24"/>
          <w:szCs w:val="24"/>
        </w:rPr>
        <w:t>…</w:t>
      </w:r>
      <w:r w:rsidRPr="00BD3A73">
        <w:rPr>
          <w:rFonts w:asciiTheme="minorHAnsi" w:hAnsiTheme="minorHAnsi" w:cstheme="minorHAnsi"/>
          <w:w w:val="105"/>
          <w:sz w:val="24"/>
          <w:szCs w:val="24"/>
        </w:rPr>
        <w:t xml:space="preserve"> for </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 xml:space="preserve">the </w:t>
      </w:r>
      <w:r w:rsidRPr="00BD3A73">
        <w:rPr>
          <w:rFonts w:asciiTheme="minorHAnsi" w:hAnsiTheme="minorHAnsi" w:cstheme="minorHAnsi"/>
          <w:i/>
          <w:iCs/>
          <w:w w:val="105"/>
          <w:sz w:val="24"/>
          <w:szCs w:val="24"/>
        </w:rPr>
        <w:t>fair bosom</w:t>
      </w:r>
      <w:r w:rsidR="003C6F8E">
        <w:rPr>
          <w:rFonts w:asciiTheme="minorHAnsi" w:hAnsiTheme="minorHAnsi" w:cstheme="minorHAnsi"/>
          <w:i/>
          <w:iCs/>
          <w:w w:val="105"/>
          <w:sz w:val="24"/>
          <w:szCs w:val="24"/>
        </w:rPr>
        <w:t>”</w:t>
      </w:r>
      <w:r w:rsidRPr="00BD3A73">
        <w:rPr>
          <w:rFonts w:asciiTheme="minorHAnsi" w:hAnsiTheme="minorHAnsi" w:cstheme="minorHAnsi"/>
          <w:i/>
          <w:iCs/>
          <w:w w:val="105"/>
          <w:sz w:val="24"/>
          <w:szCs w:val="24"/>
        </w:rPr>
        <w:t xml:space="preserve">), </w:t>
      </w:r>
      <w:r w:rsidRPr="00BD3A73">
        <w:rPr>
          <w:rFonts w:asciiTheme="minorHAnsi" w:hAnsiTheme="minorHAnsi" w:cstheme="minorHAnsi"/>
          <w:w w:val="105"/>
          <w:sz w:val="24"/>
          <w:szCs w:val="24"/>
        </w:rPr>
        <w:t>Timothy was always a would-be ladies</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 xml:space="preserve"> man with an appreciative eye for a pretty face, not only in his younger single years as a student and teacher but also later</w:t>
      </w:r>
      <w:r>
        <w:rPr>
          <w:rFonts w:asciiTheme="minorHAnsi" w:hAnsiTheme="minorHAnsi" w:cstheme="minorHAnsi"/>
          <w:w w:val="105"/>
          <w:sz w:val="24"/>
          <w:szCs w:val="24"/>
        </w:rPr>
        <w:t>…</w:t>
      </w:r>
      <w:r w:rsidRPr="00BD3A73">
        <w:rPr>
          <w:rFonts w:asciiTheme="minorHAnsi" w:hAnsiTheme="minorHAnsi" w:cstheme="minorHAnsi"/>
          <w:w w:val="105"/>
          <w:sz w:val="24"/>
          <w:szCs w:val="24"/>
        </w:rPr>
        <w:t xml:space="preserve">His Harvard-era diary covers the brief period he taught at Leicester Academy (one of the few that accepted women) and reveals his </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ample appetite</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 xml:space="preserve"> for the other sex</w:t>
      </w:r>
      <w:r>
        <w:rPr>
          <w:rFonts w:asciiTheme="minorHAnsi" w:hAnsiTheme="minorHAnsi" w:cstheme="minorHAnsi"/>
          <w:w w:val="105"/>
          <w:sz w:val="24"/>
          <w:szCs w:val="24"/>
        </w:rPr>
        <w:t>...</w:t>
      </w:r>
      <w:r w:rsidRPr="00BD3A73">
        <w:rPr>
          <w:rFonts w:asciiTheme="minorHAnsi" w:hAnsiTheme="minorHAnsi" w:cstheme="minorHAnsi"/>
          <w:w w:val="105"/>
          <w:sz w:val="24"/>
          <w:szCs w:val="24"/>
        </w:rPr>
        <w:t>Later</w:t>
      </w:r>
      <w:r>
        <w:rPr>
          <w:rFonts w:asciiTheme="minorHAnsi" w:hAnsiTheme="minorHAnsi" w:cstheme="minorHAnsi"/>
          <w:w w:val="105"/>
          <w:sz w:val="24"/>
          <w:szCs w:val="24"/>
        </w:rPr>
        <w:t>,</w:t>
      </w:r>
      <w:r w:rsidRPr="00BD3A73">
        <w:rPr>
          <w:rFonts w:asciiTheme="minorHAnsi" w:hAnsiTheme="minorHAnsi" w:cstheme="minorHAnsi"/>
          <w:w w:val="105"/>
          <w:sz w:val="24"/>
          <w:szCs w:val="24"/>
        </w:rPr>
        <w:t xml:space="preserve"> Timothy </w:t>
      </w:r>
      <w:r w:rsidRPr="00BD3A73">
        <w:rPr>
          <w:rFonts w:asciiTheme="minorHAnsi" w:hAnsiTheme="minorHAnsi" w:cstheme="minorHAnsi"/>
          <w:w w:val="105"/>
          <w:sz w:val="24"/>
          <w:szCs w:val="24"/>
        </w:rPr>
        <w:lastRenderedPageBreak/>
        <w:t>delight</w:t>
      </w:r>
      <w:r>
        <w:rPr>
          <w:rFonts w:asciiTheme="minorHAnsi" w:hAnsiTheme="minorHAnsi" w:cstheme="minorHAnsi"/>
          <w:w w:val="105"/>
          <w:sz w:val="24"/>
          <w:szCs w:val="24"/>
        </w:rPr>
        <w:t>ed</w:t>
      </w:r>
      <w:r w:rsidRPr="00BD3A73">
        <w:rPr>
          <w:rFonts w:asciiTheme="minorHAnsi" w:hAnsiTheme="minorHAnsi" w:cstheme="minorHAnsi"/>
          <w:w w:val="105"/>
          <w:sz w:val="24"/>
          <w:szCs w:val="24"/>
        </w:rPr>
        <w:t xml:space="preserve"> in having been selected by </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several ladies</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 xml:space="preserve"> to walk and later talk with them at Judge Walker</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 xml:space="preserve">s house; he confesses how, amid a </w:t>
      </w:r>
      <w:r w:rsidR="003C6F8E">
        <w:rPr>
          <w:rFonts w:asciiTheme="minorHAnsi" w:hAnsiTheme="minorHAnsi" w:cstheme="minorHAnsi"/>
          <w:w w:val="105"/>
          <w:sz w:val="24"/>
          <w:szCs w:val="24"/>
        </w:rPr>
        <w:t>“</w:t>
      </w:r>
      <w:r w:rsidRPr="00BD3A73">
        <w:rPr>
          <w:rFonts w:asciiTheme="minorHAnsi" w:hAnsiTheme="minorHAnsi" w:cstheme="minorHAnsi"/>
          <w:w w:val="105"/>
          <w:sz w:val="24"/>
          <w:szCs w:val="24"/>
        </w:rPr>
        <w:t xml:space="preserve">world of sighs &amp; </w:t>
      </w:r>
      <w:r w:rsidRPr="00BD3A73">
        <w:rPr>
          <w:rFonts w:asciiTheme="minorHAnsi" w:hAnsiTheme="minorHAnsi" w:cstheme="minorHAnsi"/>
          <w:w w:val="125"/>
          <w:sz w:val="24"/>
          <w:szCs w:val="24"/>
        </w:rPr>
        <w:t>k--s,</w:t>
      </w:r>
      <w:r w:rsidR="003C6F8E">
        <w:rPr>
          <w:rFonts w:asciiTheme="minorHAnsi" w:hAnsiTheme="minorHAnsi" w:cstheme="minorHAnsi"/>
          <w:w w:val="125"/>
          <w:sz w:val="24"/>
          <w:szCs w:val="24"/>
        </w:rPr>
        <w:t>”</w:t>
      </w:r>
      <w:r w:rsidRPr="00BD3A73">
        <w:rPr>
          <w:rFonts w:asciiTheme="minorHAnsi" w:hAnsiTheme="minorHAnsi" w:cstheme="minorHAnsi"/>
          <w:w w:val="125"/>
          <w:sz w:val="24"/>
          <w:szCs w:val="24"/>
        </w:rPr>
        <w:t xml:space="preserve"> </w:t>
      </w:r>
      <w:r w:rsidRPr="00BD3A73">
        <w:rPr>
          <w:rFonts w:asciiTheme="minorHAnsi" w:hAnsiTheme="minorHAnsi" w:cstheme="minorHAnsi"/>
          <w:w w:val="105"/>
          <w:sz w:val="24"/>
          <w:szCs w:val="24"/>
        </w:rPr>
        <w:t>he regretfully took leave of them.</w:t>
      </w:r>
      <w:r w:rsidRPr="00BD3A73">
        <w:rPr>
          <w:rStyle w:val="FootnoteReference"/>
          <w:rFonts w:asciiTheme="minorHAnsi" w:hAnsiTheme="minorHAnsi" w:cstheme="minorHAnsi"/>
          <w:sz w:val="24"/>
          <w:szCs w:val="24"/>
          <w:shd w:val="clear" w:color="auto" w:fill="FFFFFF"/>
        </w:rPr>
        <w:footnoteReference w:id="45"/>
      </w:r>
      <w:r>
        <w:rPr>
          <w:rFonts w:asciiTheme="minorHAnsi" w:hAnsiTheme="minorHAnsi" w:cstheme="minorHAnsi"/>
          <w:w w:val="105"/>
          <w:sz w:val="24"/>
          <w:szCs w:val="24"/>
        </w:rPr>
        <w:t xml:space="preserve"> </w:t>
      </w:r>
    </w:p>
    <w:p w14:paraId="658692AE" w14:textId="366A00D1" w:rsidR="00163562" w:rsidRPr="00536179" w:rsidRDefault="00163562" w:rsidP="00163562">
      <w:pPr>
        <w:pStyle w:val="BodyText"/>
        <w:widowControl w:val="0"/>
        <w:kinsoku w:val="0"/>
        <w:overflowPunct w:val="0"/>
        <w:spacing w:after="120" w:line="240" w:lineRule="auto"/>
        <w:ind w:left="0"/>
        <w:rPr>
          <w:rFonts w:asciiTheme="minorHAnsi" w:hAnsiTheme="minorHAnsi" w:cstheme="minorHAnsi"/>
          <w:w w:val="105"/>
          <w:sz w:val="24"/>
          <w:szCs w:val="24"/>
        </w:rPr>
      </w:pPr>
      <w:r>
        <w:rPr>
          <w:rFonts w:asciiTheme="minorHAnsi" w:hAnsiTheme="minorHAnsi" w:cstheme="minorHAnsi"/>
          <w:w w:val="105"/>
          <w:sz w:val="24"/>
          <w:szCs w:val="24"/>
        </w:rPr>
        <w:t>John King</w:t>
      </w:r>
      <w:r w:rsidR="003C6F8E">
        <w:rPr>
          <w:rFonts w:asciiTheme="minorHAnsi" w:hAnsiTheme="minorHAnsi" w:cstheme="minorHAnsi"/>
          <w:w w:val="105"/>
          <w:sz w:val="24"/>
          <w:szCs w:val="24"/>
        </w:rPr>
        <w:t>’</w:t>
      </w:r>
      <w:r>
        <w:rPr>
          <w:rFonts w:asciiTheme="minorHAnsi" w:hAnsiTheme="minorHAnsi" w:cstheme="minorHAnsi"/>
          <w:w w:val="105"/>
          <w:sz w:val="24"/>
          <w:szCs w:val="24"/>
        </w:rPr>
        <w:t xml:space="preserve">s position along the continuum of such </w:t>
      </w:r>
      <w:r w:rsidR="003C6F8E">
        <w:rPr>
          <w:rFonts w:asciiTheme="minorHAnsi" w:hAnsiTheme="minorHAnsi" w:cstheme="minorHAnsi"/>
          <w:w w:val="105"/>
          <w:sz w:val="24"/>
          <w:szCs w:val="24"/>
        </w:rPr>
        <w:t>“</w:t>
      </w:r>
      <w:r>
        <w:rPr>
          <w:rFonts w:asciiTheme="minorHAnsi" w:hAnsiTheme="minorHAnsi" w:cstheme="minorHAnsi"/>
          <w:w w:val="105"/>
          <w:sz w:val="24"/>
          <w:szCs w:val="24"/>
        </w:rPr>
        <w:t>appetites</w:t>
      </w:r>
      <w:r w:rsidR="003C6F8E">
        <w:rPr>
          <w:rFonts w:asciiTheme="minorHAnsi" w:hAnsiTheme="minorHAnsi" w:cstheme="minorHAnsi"/>
          <w:w w:val="105"/>
          <w:sz w:val="24"/>
          <w:szCs w:val="24"/>
        </w:rPr>
        <w:t>”</w:t>
      </w:r>
      <w:r>
        <w:rPr>
          <w:rFonts w:asciiTheme="minorHAnsi" w:hAnsiTheme="minorHAnsi" w:cstheme="minorHAnsi"/>
          <w:w w:val="105"/>
          <w:sz w:val="24"/>
          <w:szCs w:val="24"/>
        </w:rPr>
        <w:t xml:space="preserve"> cannot be guessed. Fuller</w:t>
      </w:r>
      <w:r w:rsidR="003C6F8E">
        <w:rPr>
          <w:rFonts w:asciiTheme="minorHAnsi" w:hAnsiTheme="minorHAnsi" w:cstheme="minorHAnsi"/>
          <w:w w:val="105"/>
          <w:sz w:val="24"/>
          <w:szCs w:val="24"/>
        </w:rPr>
        <w:t>’</w:t>
      </w:r>
      <w:r>
        <w:rPr>
          <w:rFonts w:asciiTheme="minorHAnsi" w:hAnsiTheme="minorHAnsi" w:cstheme="minorHAnsi"/>
          <w:w w:val="105"/>
          <w:sz w:val="24"/>
          <w:szCs w:val="24"/>
        </w:rPr>
        <w:t xml:space="preserve">s letters only </w:t>
      </w:r>
      <w:proofErr w:type="gramStart"/>
      <w:r>
        <w:rPr>
          <w:rFonts w:asciiTheme="minorHAnsi" w:hAnsiTheme="minorHAnsi" w:cstheme="minorHAnsi"/>
          <w:w w:val="105"/>
          <w:sz w:val="24"/>
          <w:szCs w:val="24"/>
        </w:rPr>
        <w:t>serve to show</w:t>
      </w:r>
      <w:proofErr w:type="gramEnd"/>
      <w:r>
        <w:rPr>
          <w:rFonts w:asciiTheme="minorHAnsi" w:hAnsiTheme="minorHAnsi" w:cstheme="minorHAnsi"/>
          <w:w w:val="105"/>
          <w:sz w:val="24"/>
          <w:szCs w:val="24"/>
        </w:rPr>
        <w:t xml:space="preserve"> that even in Calvinistic New England, some men at least were willing to write about their longings. John King</w:t>
      </w:r>
      <w:r w:rsidR="003C6F8E">
        <w:rPr>
          <w:rFonts w:asciiTheme="minorHAnsi" w:hAnsiTheme="minorHAnsi" w:cstheme="minorHAnsi"/>
          <w:w w:val="105"/>
          <w:sz w:val="24"/>
          <w:szCs w:val="24"/>
        </w:rPr>
        <w:t>’</w:t>
      </w:r>
      <w:r>
        <w:rPr>
          <w:rFonts w:asciiTheme="minorHAnsi" w:hAnsiTheme="minorHAnsi" w:cstheme="minorHAnsi"/>
          <w:w w:val="105"/>
          <w:sz w:val="24"/>
          <w:szCs w:val="24"/>
        </w:rPr>
        <w:t>s passions remain mostly mysterious, apart from books, music, fireworks, and the abolition of slavery.</w:t>
      </w:r>
    </w:p>
    <w:p w14:paraId="76B60CED" w14:textId="7B87D8BC" w:rsidR="00163562" w:rsidRDefault="00163562" w:rsidP="00163562">
      <w:pPr>
        <w:widowControl w:val="0"/>
        <w:autoSpaceDE w:val="0"/>
        <w:autoSpaceDN w:val="0"/>
        <w:adjustRightInd w:val="0"/>
        <w:spacing w:after="120" w:line="240" w:lineRule="auto"/>
        <w:rPr>
          <w:rFonts w:cstheme="minorHAnsi"/>
          <w:sz w:val="24"/>
          <w:szCs w:val="24"/>
        </w:rPr>
      </w:pPr>
      <w:r>
        <w:rPr>
          <w:rFonts w:cstheme="minorHAnsi"/>
          <w:sz w:val="24"/>
          <w:szCs w:val="24"/>
        </w:rPr>
        <w:t>John King shared an abiding disdain for slavery with Timothy Fuller. John left Massachusetts for free-soil Maine just as the Missouri Compromise of 1820 was effectively repealed by the Kansas-Nebraska Act of 1854.</w:t>
      </w:r>
      <w:r>
        <w:rPr>
          <w:rStyle w:val="FootnoteReference"/>
          <w:rFonts w:cstheme="minorHAnsi"/>
          <w:sz w:val="24"/>
          <w:szCs w:val="24"/>
        </w:rPr>
        <w:footnoteReference w:id="46"/>
      </w:r>
      <w:r>
        <w:rPr>
          <w:rFonts w:cstheme="minorHAnsi"/>
          <w:sz w:val="24"/>
          <w:szCs w:val="24"/>
        </w:rPr>
        <w:t xml:space="preserve"> In a few short years, this Act, coupled with the disastrous and unfathomable 1857 Dred Scott v Emerson decision by the Roger Taney U.S. Supreme Court, would culminate in </w:t>
      </w:r>
      <w:r w:rsidR="0066481E">
        <w:rPr>
          <w:rFonts w:cstheme="minorHAnsi"/>
          <w:sz w:val="24"/>
          <w:szCs w:val="24"/>
        </w:rPr>
        <w:t xml:space="preserve">the </w:t>
      </w:r>
      <w:r>
        <w:rPr>
          <w:rFonts w:cstheme="minorHAnsi"/>
          <w:sz w:val="24"/>
          <w:szCs w:val="24"/>
        </w:rPr>
        <w:t>Civil War.</w:t>
      </w:r>
    </w:p>
    <w:p w14:paraId="411AD9A2" w14:textId="1FA19AB8" w:rsidR="00163562" w:rsidRDefault="00163562" w:rsidP="00163562">
      <w:pPr>
        <w:widowControl w:val="0"/>
        <w:autoSpaceDE w:val="0"/>
        <w:autoSpaceDN w:val="0"/>
        <w:adjustRightInd w:val="0"/>
        <w:spacing w:after="120" w:line="240" w:lineRule="auto"/>
        <w:rPr>
          <w:rFonts w:cstheme="minorHAnsi"/>
          <w:sz w:val="24"/>
          <w:szCs w:val="24"/>
        </w:rPr>
      </w:pPr>
      <w:r>
        <w:rPr>
          <w:rFonts w:cstheme="minorHAnsi"/>
          <w:sz w:val="24"/>
          <w:szCs w:val="24"/>
        </w:rPr>
        <w:t>Why did John and Ruth King head west to Elgin, Illinois, in 1857-8? Their son John R. King had been born in Maine and was listed as age three on 29 June 1860 by the census taker.</w:t>
      </w:r>
      <w:r>
        <w:rPr>
          <w:rStyle w:val="FootnoteReference"/>
          <w:rFonts w:cstheme="minorHAnsi"/>
          <w:sz w:val="24"/>
          <w:szCs w:val="24"/>
        </w:rPr>
        <w:footnoteReference w:id="47"/>
      </w:r>
      <w:r>
        <w:rPr>
          <w:rFonts w:cstheme="minorHAnsi"/>
          <w:sz w:val="24"/>
          <w:szCs w:val="24"/>
        </w:rPr>
        <w:t xml:space="preserve"> </w:t>
      </w:r>
      <w:proofErr w:type="gramStart"/>
      <w:r>
        <w:rPr>
          <w:rFonts w:cstheme="minorHAnsi"/>
          <w:sz w:val="24"/>
          <w:szCs w:val="24"/>
        </w:rPr>
        <w:t>King</w:t>
      </w:r>
      <w:r w:rsidR="003C6F8E">
        <w:rPr>
          <w:rFonts w:cstheme="minorHAnsi"/>
          <w:sz w:val="24"/>
          <w:szCs w:val="24"/>
        </w:rPr>
        <w:t>’</w:t>
      </w:r>
      <w:r>
        <w:rPr>
          <w:rFonts w:cstheme="minorHAnsi"/>
          <w:sz w:val="24"/>
          <w:szCs w:val="24"/>
        </w:rPr>
        <w:t>s</w:t>
      </w:r>
      <w:proofErr w:type="gramEnd"/>
      <w:r>
        <w:rPr>
          <w:rFonts w:cstheme="minorHAnsi"/>
          <w:sz w:val="24"/>
          <w:szCs w:val="24"/>
        </w:rPr>
        <w:t xml:space="preserve"> professional </w:t>
      </w:r>
      <w:r w:rsidR="003C6F8E">
        <w:rPr>
          <w:rFonts w:cstheme="minorHAnsi"/>
          <w:sz w:val="24"/>
          <w:szCs w:val="24"/>
        </w:rPr>
        <w:t>“</w:t>
      </w:r>
      <w:r>
        <w:rPr>
          <w:rFonts w:cstheme="minorHAnsi"/>
          <w:sz w:val="24"/>
          <w:szCs w:val="24"/>
        </w:rPr>
        <w:t>tombstone ad</w:t>
      </w:r>
      <w:r w:rsidR="003C6F8E">
        <w:rPr>
          <w:rFonts w:cstheme="minorHAnsi"/>
          <w:sz w:val="24"/>
          <w:szCs w:val="24"/>
        </w:rPr>
        <w:t>”</w:t>
      </w:r>
      <w:r>
        <w:rPr>
          <w:rFonts w:cstheme="minorHAnsi"/>
          <w:sz w:val="24"/>
          <w:szCs w:val="24"/>
        </w:rPr>
        <w:t xml:space="preserve"> was first placed in the Elgin </w:t>
      </w:r>
      <w:r w:rsidRPr="002D4AF8">
        <w:rPr>
          <w:rFonts w:cstheme="minorHAnsi"/>
          <w:i/>
          <w:iCs/>
          <w:sz w:val="24"/>
          <w:szCs w:val="24"/>
        </w:rPr>
        <w:t>Gazette</w:t>
      </w:r>
      <w:r>
        <w:rPr>
          <w:rFonts w:cstheme="minorHAnsi"/>
          <w:sz w:val="24"/>
          <w:szCs w:val="24"/>
        </w:rPr>
        <w:t xml:space="preserve"> in April of 1858. </w:t>
      </w:r>
    </w:p>
    <w:p w14:paraId="3E1BE74E" w14:textId="77777777" w:rsidR="00163562" w:rsidRDefault="00163562" w:rsidP="00163562">
      <w:pPr>
        <w:widowControl w:val="0"/>
        <w:autoSpaceDE w:val="0"/>
        <w:autoSpaceDN w:val="0"/>
        <w:adjustRightInd w:val="0"/>
        <w:spacing w:after="0" w:line="240" w:lineRule="auto"/>
        <w:rPr>
          <w:rFonts w:cstheme="minorHAnsi"/>
          <w:sz w:val="24"/>
          <w:szCs w:val="24"/>
        </w:rPr>
      </w:pPr>
      <w:r>
        <w:rPr>
          <w:noProof/>
        </w:rPr>
        <w:drawing>
          <wp:inline distT="0" distB="0" distL="0" distR="0" wp14:anchorId="3D9BE237" wp14:editId="204224C9">
            <wp:extent cx="5943600" cy="82486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824865"/>
                    </a:xfrm>
                    <a:prstGeom prst="rect">
                      <a:avLst/>
                    </a:prstGeom>
                  </pic:spPr>
                </pic:pic>
              </a:graphicData>
            </a:graphic>
          </wp:inline>
        </w:drawing>
      </w:r>
    </w:p>
    <w:p w14:paraId="4F8571CD" w14:textId="57198DCB" w:rsidR="00163562" w:rsidRDefault="00163562" w:rsidP="00163562">
      <w:pPr>
        <w:widowControl w:val="0"/>
        <w:autoSpaceDE w:val="0"/>
        <w:autoSpaceDN w:val="0"/>
        <w:adjustRightInd w:val="0"/>
        <w:spacing w:after="0" w:line="240" w:lineRule="auto"/>
        <w:rPr>
          <w:rFonts w:cstheme="minorHAnsi"/>
          <w:sz w:val="24"/>
          <w:szCs w:val="24"/>
        </w:rPr>
      </w:pPr>
      <w:r>
        <w:rPr>
          <w:rFonts w:cstheme="minorHAnsi"/>
          <w:sz w:val="24"/>
          <w:szCs w:val="24"/>
        </w:rPr>
        <w:t>John King may have visited the Elgin area earlier in the mid-1850s. George W. Battles, possibly Ruth</w:t>
      </w:r>
      <w:r w:rsidR="003C6F8E">
        <w:rPr>
          <w:rFonts w:cstheme="minorHAnsi"/>
          <w:sz w:val="24"/>
          <w:szCs w:val="24"/>
        </w:rPr>
        <w:t>’</w:t>
      </w:r>
      <w:r>
        <w:rPr>
          <w:rFonts w:cstheme="minorHAnsi"/>
          <w:sz w:val="24"/>
          <w:szCs w:val="24"/>
        </w:rPr>
        <w:t>s brother George, was appointed Postmaster at Romeo in McHenry County in December of 1854, replacing N.C. Dodge.</w:t>
      </w:r>
      <w:r>
        <w:rPr>
          <w:rStyle w:val="FootnoteReference"/>
          <w:rFonts w:cstheme="minorHAnsi"/>
          <w:sz w:val="24"/>
          <w:szCs w:val="24"/>
        </w:rPr>
        <w:footnoteReference w:id="48"/>
      </w:r>
      <w:r>
        <w:rPr>
          <w:rFonts w:cstheme="minorHAnsi"/>
          <w:sz w:val="24"/>
          <w:szCs w:val="24"/>
        </w:rPr>
        <w:t xml:space="preserve"> Thirty-three post offices existed in McHenry County in 1856 (Kane had 28).</w:t>
      </w:r>
      <w:r>
        <w:rPr>
          <w:rStyle w:val="FootnoteReference"/>
          <w:rFonts w:cstheme="minorHAnsi"/>
          <w:sz w:val="24"/>
          <w:szCs w:val="24"/>
        </w:rPr>
        <w:footnoteReference w:id="49"/>
      </w:r>
      <w:r>
        <w:rPr>
          <w:rFonts w:cstheme="minorHAnsi"/>
          <w:sz w:val="24"/>
          <w:szCs w:val="24"/>
        </w:rPr>
        <w:t xml:space="preserve"> Romeo P.O. was likely located in the southeast corner of Dunham Township of McHenry County.</w:t>
      </w:r>
      <w:r>
        <w:rPr>
          <w:rStyle w:val="FootnoteReference"/>
          <w:rFonts w:cstheme="minorHAnsi"/>
          <w:sz w:val="24"/>
          <w:szCs w:val="24"/>
        </w:rPr>
        <w:footnoteReference w:id="50"/>
      </w:r>
      <w:r>
        <w:rPr>
          <w:rFonts w:cstheme="minorHAnsi"/>
          <w:sz w:val="24"/>
          <w:szCs w:val="24"/>
        </w:rPr>
        <w:t xml:space="preserve"> The immediate vicinity was an enclave of interrelated families. Jonathan Wells</w:t>
      </w:r>
      <w:r w:rsidR="003C6F8E">
        <w:rPr>
          <w:rFonts w:cstheme="minorHAnsi"/>
          <w:sz w:val="24"/>
          <w:szCs w:val="24"/>
        </w:rPr>
        <w:t>’</w:t>
      </w:r>
      <w:r>
        <w:rPr>
          <w:rFonts w:cstheme="minorHAnsi"/>
          <w:sz w:val="24"/>
          <w:szCs w:val="24"/>
        </w:rPr>
        <w:t xml:space="preserve"> wife Catherine </w:t>
      </w:r>
      <w:proofErr w:type="spellStart"/>
      <w:r>
        <w:rPr>
          <w:rFonts w:cstheme="minorHAnsi"/>
          <w:sz w:val="24"/>
          <w:szCs w:val="24"/>
        </w:rPr>
        <w:t>DeGroat</w:t>
      </w:r>
      <w:proofErr w:type="spellEnd"/>
      <w:r>
        <w:rPr>
          <w:rFonts w:cstheme="minorHAnsi"/>
          <w:sz w:val="24"/>
          <w:szCs w:val="24"/>
        </w:rPr>
        <w:t xml:space="preserve"> was the Aunt of Mrs. Samuel Chase. The Chase, </w:t>
      </w:r>
      <w:proofErr w:type="spellStart"/>
      <w:r>
        <w:rPr>
          <w:rFonts w:cstheme="minorHAnsi"/>
          <w:sz w:val="24"/>
          <w:szCs w:val="24"/>
        </w:rPr>
        <w:t>DeGroat</w:t>
      </w:r>
      <w:proofErr w:type="spellEnd"/>
      <w:r>
        <w:rPr>
          <w:rFonts w:cstheme="minorHAnsi"/>
          <w:sz w:val="24"/>
          <w:szCs w:val="24"/>
        </w:rPr>
        <w:t xml:space="preserve">, and Wells families came as one party to Dunham Township in 1842. </w:t>
      </w:r>
    </w:p>
    <w:p w14:paraId="4D6BB6D7" w14:textId="77777777" w:rsidR="00163562" w:rsidRDefault="00163562" w:rsidP="00163562">
      <w:pPr>
        <w:widowControl w:val="0"/>
        <w:autoSpaceDE w:val="0"/>
        <w:autoSpaceDN w:val="0"/>
        <w:adjustRightInd w:val="0"/>
        <w:spacing w:after="0" w:line="240" w:lineRule="auto"/>
      </w:pPr>
    </w:p>
    <w:p w14:paraId="38522920" w14:textId="753C6022" w:rsidR="00163562" w:rsidRDefault="00163562" w:rsidP="00163562">
      <w:pPr>
        <w:widowControl w:val="0"/>
        <w:autoSpaceDE w:val="0"/>
        <w:autoSpaceDN w:val="0"/>
        <w:adjustRightInd w:val="0"/>
        <w:spacing w:after="0" w:line="240" w:lineRule="auto"/>
        <w:rPr>
          <w:rFonts w:cstheme="minorHAnsi"/>
          <w:sz w:val="24"/>
          <w:szCs w:val="24"/>
        </w:rPr>
      </w:pPr>
      <w:r>
        <w:rPr>
          <w:rFonts w:cstheme="minorHAnsi"/>
          <w:sz w:val="24"/>
          <w:szCs w:val="24"/>
        </w:rPr>
        <w:t>John King</w:t>
      </w:r>
      <w:r w:rsidR="003C6F8E">
        <w:rPr>
          <w:rFonts w:cstheme="minorHAnsi"/>
          <w:sz w:val="24"/>
          <w:szCs w:val="24"/>
        </w:rPr>
        <w:t>’</w:t>
      </w:r>
      <w:r>
        <w:rPr>
          <w:rFonts w:cstheme="minorHAnsi"/>
          <w:sz w:val="24"/>
          <w:szCs w:val="24"/>
        </w:rPr>
        <w:t xml:space="preserve">s sister Sarah Wales Turner Howard (1818-1886) and her husband Lucius Howard were the proprietors of the famous </w:t>
      </w:r>
      <w:r w:rsidR="003C6F8E">
        <w:rPr>
          <w:rFonts w:cstheme="minorHAnsi"/>
          <w:sz w:val="24"/>
          <w:szCs w:val="24"/>
        </w:rPr>
        <w:t>“</w:t>
      </w:r>
      <w:r>
        <w:rPr>
          <w:rFonts w:cstheme="minorHAnsi"/>
          <w:sz w:val="24"/>
          <w:szCs w:val="24"/>
        </w:rPr>
        <w:t>Waverly House</w:t>
      </w:r>
      <w:r w:rsidR="003C6F8E">
        <w:rPr>
          <w:rFonts w:cstheme="minorHAnsi"/>
          <w:sz w:val="24"/>
          <w:szCs w:val="24"/>
        </w:rPr>
        <w:t>”</w:t>
      </w:r>
      <w:r>
        <w:rPr>
          <w:rFonts w:cstheme="minorHAnsi"/>
          <w:sz w:val="24"/>
          <w:szCs w:val="24"/>
        </w:rPr>
        <w:t xml:space="preserve"> hotel in Elgin in 1857. Lucius had begun his career in hostelry at the </w:t>
      </w:r>
      <w:r w:rsidR="00F5627F">
        <w:rPr>
          <w:rFonts w:cstheme="minorHAnsi"/>
          <w:sz w:val="24"/>
          <w:szCs w:val="24"/>
        </w:rPr>
        <w:t>100-year-old</w:t>
      </w:r>
      <w:r>
        <w:rPr>
          <w:rFonts w:cstheme="minorHAnsi"/>
          <w:sz w:val="24"/>
          <w:szCs w:val="24"/>
        </w:rPr>
        <w:t xml:space="preserve"> Randolph Inn in 1848 and changed the name to Howard House. Later in Abington MA he ran the </w:t>
      </w:r>
      <w:r w:rsidR="003C6F8E">
        <w:rPr>
          <w:rFonts w:cstheme="minorHAnsi"/>
          <w:sz w:val="24"/>
          <w:szCs w:val="24"/>
        </w:rPr>
        <w:t>“</w:t>
      </w:r>
      <w:r>
        <w:rPr>
          <w:rFonts w:cstheme="minorHAnsi"/>
          <w:sz w:val="24"/>
          <w:szCs w:val="24"/>
        </w:rPr>
        <w:t>King House</w:t>
      </w:r>
      <w:r w:rsidR="003C6F8E">
        <w:rPr>
          <w:rFonts w:cstheme="minorHAnsi"/>
          <w:sz w:val="24"/>
          <w:szCs w:val="24"/>
        </w:rPr>
        <w:t>”</w:t>
      </w:r>
      <w:r>
        <w:rPr>
          <w:rFonts w:cstheme="minorHAnsi"/>
          <w:sz w:val="24"/>
          <w:szCs w:val="24"/>
        </w:rPr>
        <w:t xml:space="preserve"> until he removed to Chicago in 1855 and again was an innkeeper.</w:t>
      </w:r>
      <w:r>
        <w:rPr>
          <w:rStyle w:val="FootnoteReference"/>
          <w:rFonts w:cstheme="minorHAnsi"/>
          <w:sz w:val="24"/>
          <w:szCs w:val="24"/>
        </w:rPr>
        <w:footnoteReference w:id="51"/>
      </w:r>
    </w:p>
    <w:p w14:paraId="4300945B" w14:textId="77777777" w:rsidR="00163562" w:rsidRDefault="00163562" w:rsidP="00163562">
      <w:pPr>
        <w:widowControl w:val="0"/>
        <w:autoSpaceDE w:val="0"/>
        <w:autoSpaceDN w:val="0"/>
        <w:adjustRightInd w:val="0"/>
        <w:spacing w:after="0" w:line="240" w:lineRule="auto"/>
        <w:rPr>
          <w:rFonts w:cstheme="minorHAnsi"/>
          <w:sz w:val="24"/>
          <w:szCs w:val="24"/>
        </w:rPr>
      </w:pPr>
      <w:r>
        <w:rPr>
          <w:noProof/>
        </w:rPr>
        <w:drawing>
          <wp:inline distT="0" distB="0" distL="0" distR="0" wp14:anchorId="2489ED77" wp14:editId="5A67BBC8">
            <wp:extent cx="5943600" cy="3479800"/>
            <wp:effectExtent l="0" t="0" r="0" b="63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3479800"/>
                    </a:xfrm>
                    <a:prstGeom prst="rect">
                      <a:avLst/>
                    </a:prstGeom>
                  </pic:spPr>
                </pic:pic>
              </a:graphicData>
            </a:graphic>
          </wp:inline>
        </w:drawing>
      </w:r>
    </w:p>
    <w:p w14:paraId="084837D6" w14:textId="488CA1B6" w:rsidR="00163562" w:rsidRDefault="00163562" w:rsidP="00163562">
      <w:pPr>
        <w:widowControl w:val="0"/>
        <w:autoSpaceDE w:val="0"/>
        <w:autoSpaceDN w:val="0"/>
        <w:adjustRightInd w:val="0"/>
        <w:spacing w:before="120" w:after="0" w:line="240" w:lineRule="auto"/>
        <w:rPr>
          <w:rFonts w:cstheme="minorHAnsi"/>
          <w:sz w:val="24"/>
          <w:szCs w:val="24"/>
        </w:rPr>
      </w:pPr>
      <w:r>
        <w:rPr>
          <w:rFonts w:cstheme="minorHAnsi"/>
          <w:sz w:val="24"/>
          <w:szCs w:val="24"/>
        </w:rPr>
        <w:t>William Currier Kimball built the Waverly House at State and Highland Avenue in 1853.</w:t>
      </w:r>
      <w:r>
        <w:rPr>
          <w:rStyle w:val="FootnoteReference"/>
          <w:rFonts w:cstheme="minorHAnsi"/>
          <w:sz w:val="24"/>
          <w:szCs w:val="24"/>
        </w:rPr>
        <w:footnoteReference w:id="52"/>
      </w:r>
      <w:r>
        <w:rPr>
          <w:rFonts w:cstheme="minorHAnsi"/>
          <w:sz w:val="24"/>
          <w:szCs w:val="24"/>
        </w:rPr>
        <w:t xml:space="preserve"> </w:t>
      </w:r>
      <w:proofErr w:type="spellStart"/>
      <w:r>
        <w:rPr>
          <w:rFonts w:cstheme="minorHAnsi"/>
          <w:sz w:val="24"/>
          <w:szCs w:val="24"/>
        </w:rPr>
        <w:t>Ferslew</w:t>
      </w:r>
      <w:r w:rsidR="003C6F8E">
        <w:rPr>
          <w:rFonts w:cstheme="minorHAnsi"/>
          <w:sz w:val="24"/>
          <w:szCs w:val="24"/>
        </w:rPr>
        <w:t>’</w:t>
      </w:r>
      <w:r>
        <w:rPr>
          <w:rFonts w:cstheme="minorHAnsi"/>
          <w:sz w:val="24"/>
          <w:szCs w:val="24"/>
        </w:rPr>
        <w:t>s</w:t>
      </w:r>
      <w:proofErr w:type="spellEnd"/>
      <w:r>
        <w:rPr>
          <w:rFonts w:cstheme="minorHAnsi"/>
          <w:sz w:val="24"/>
          <w:szCs w:val="24"/>
        </w:rPr>
        <w:t xml:space="preserve"> Directory of 1857 listed </w:t>
      </w:r>
      <w:r w:rsidR="003C6F8E">
        <w:rPr>
          <w:rFonts w:cstheme="minorHAnsi"/>
          <w:sz w:val="24"/>
          <w:szCs w:val="24"/>
        </w:rPr>
        <w:t>“</w:t>
      </w:r>
      <w:r>
        <w:rPr>
          <w:rFonts w:cstheme="minorHAnsi"/>
          <w:sz w:val="24"/>
          <w:szCs w:val="24"/>
        </w:rPr>
        <w:t>Kimball &amp; Howard proprietor Waverly House.</w:t>
      </w:r>
      <w:r w:rsidR="003C6F8E">
        <w:rPr>
          <w:rFonts w:cstheme="minorHAnsi"/>
          <w:sz w:val="24"/>
          <w:szCs w:val="24"/>
        </w:rPr>
        <w:t>”</w:t>
      </w:r>
      <w:r>
        <w:rPr>
          <w:rStyle w:val="FootnoteReference"/>
          <w:rFonts w:cstheme="minorHAnsi"/>
          <w:sz w:val="24"/>
          <w:szCs w:val="24"/>
        </w:rPr>
        <w:footnoteReference w:id="53"/>
      </w:r>
      <w:r>
        <w:rPr>
          <w:rFonts w:cstheme="minorHAnsi"/>
          <w:sz w:val="24"/>
          <w:szCs w:val="24"/>
        </w:rPr>
        <w:t xml:space="preserve"> </w:t>
      </w:r>
      <w:r w:rsidRPr="00E649F8">
        <w:rPr>
          <w:rFonts w:cstheme="minorHAnsi"/>
          <w:i/>
          <w:iCs/>
          <w:sz w:val="24"/>
          <w:szCs w:val="24"/>
        </w:rPr>
        <w:t>The Freeport Dailey Journal</w:t>
      </w:r>
      <w:r>
        <w:rPr>
          <w:rFonts w:cstheme="minorHAnsi"/>
          <w:sz w:val="24"/>
          <w:szCs w:val="24"/>
        </w:rPr>
        <w:t xml:space="preserve"> reported on 15 May 1856 that the Howards </w:t>
      </w:r>
      <w:r w:rsidR="003C6F8E">
        <w:rPr>
          <w:rFonts w:cstheme="minorHAnsi"/>
          <w:sz w:val="24"/>
          <w:szCs w:val="24"/>
        </w:rPr>
        <w:t>“</w:t>
      </w:r>
      <w:r>
        <w:rPr>
          <w:rFonts w:cstheme="minorHAnsi"/>
          <w:sz w:val="24"/>
          <w:szCs w:val="24"/>
        </w:rPr>
        <w:t>had become</w:t>
      </w:r>
      <w:r w:rsidR="003C6F8E">
        <w:rPr>
          <w:rFonts w:cstheme="minorHAnsi"/>
          <w:sz w:val="24"/>
          <w:szCs w:val="24"/>
        </w:rPr>
        <w:t>”</w:t>
      </w:r>
      <w:r>
        <w:rPr>
          <w:rFonts w:cstheme="minorHAnsi"/>
          <w:sz w:val="24"/>
          <w:szCs w:val="24"/>
        </w:rPr>
        <w:t xml:space="preserve"> the Waverly proprietors after a stint at the </w:t>
      </w:r>
      <w:proofErr w:type="spellStart"/>
      <w:r>
        <w:rPr>
          <w:rFonts w:cstheme="minorHAnsi"/>
          <w:sz w:val="24"/>
          <w:szCs w:val="24"/>
        </w:rPr>
        <w:t>Angiers</w:t>
      </w:r>
      <w:proofErr w:type="spellEnd"/>
      <w:r>
        <w:rPr>
          <w:rFonts w:cstheme="minorHAnsi"/>
          <w:sz w:val="24"/>
          <w:szCs w:val="24"/>
        </w:rPr>
        <w:t xml:space="preserve"> Hotel in Cleveland.</w:t>
      </w:r>
      <w:r>
        <w:rPr>
          <w:rStyle w:val="FootnoteReference"/>
          <w:rFonts w:cstheme="minorHAnsi"/>
          <w:sz w:val="24"/>
          <w:szCs w:val="24"/>
        </w:rPr>
        <w:footnoteReference w:id="54"/>
      </w:r>
      <w:r>
        <w:rPr>
          <w:rFonts w:cstheme="minorHAnsi"/>
          <w:sz w:val="24"/>
          <w:szCs w:val="24"/>
        </w:rPr>
        <w:t xml:space="preserve"> </w:t>
      </w:r>
      <w:r w:rsidR="003C6F8E">
        <w:rPr>
          <w:rFonts w:cstheme="minorHAnsi"/>
          <w:sz w:val="24"/>
          <w:szCs w:val="24"/>
        </w:rPr>
        <w:t>“</w:t>
      </w:r>
      <w:r>
        <w:rPr>
          <w:rFonts w:cstheme="minorHAnsi"/>
          <w:sz w:val="24"/>
          <w:szCs w:val="24"/>
        </w:rPr>
        <w:t>Skyrocket John</w:t>
      </w:r>
      <w:r w:rsidR="003C6F8E">
        <w:rPr>
          <w:rFonts w:cstheme="minorHAnsi"/>
          <w:sz w:val="24"/>
          <w:szCs w:val="24"/>
        </w:rPr>
        <w:t>”</w:t>
      </w:r>
      <w:r>
        <w:rPr>
          <w:rFonts w:cstheme="minorHAnsi"/>
          <w:sz w:val="24"/>
          <w:szCs w:val="24"/>
        </w:rPr>
        <w:t xml:space="preserve"> King was the </w:t>
      </w:r>
      <w:proofErr w:type="spellStart"/>
      <w:r>
        <w:rPr>
          <w:rFonts w:cstheme="minorHAnsi"/>
          <w:sz w:val="24"/>
          <w:szCs w:val="24"/>
        </w:rPr>
        <w:t>pyrotechnologist</w:t>
      </w:r>
      <w:proofErr w:type="spellEnd"/>
      <w:r>
        <w:rPr>
          <w:rFonts w:cstheme="minorHAnsi"/>
          <w:sz w:val="24"/>
          <w:szCs w:val="24"/>
        </w:rPr>
        <w:t xml:space="preserve"> still back in Rockland ME on the 4</w:t>
      </w:r>
      <w:r w:rsidRPr="005164E9">
        <w:rPr>
          <w:rFonts w:cstheme="minorHAnsi"/>
          <w:sz w:val="24"/>
          <w:szCs w:val="24"/>
          <w:vertAlign w:val="superscript"/>
        </w:rPr>
        <w:t>th</w:t>
      </w:r>
      <w:r>
        <w:rPr>
          <w:rFonts w:cstheme="minorHAnsi"/>
          <w:sz w:val="24"/>
          <w:szCs w:val="24"/>
        </w:rPr>
        <w:t xml:space="preserve"> of July 1856.</w:t>
      </w:r>
    </w:p>
    <w:p w14:paraId="5592B8E0" w14:textId="77777777" w:rsidR="00163562" w:rsidRDefault="00163562" w:rsidP="00163562">
      <w:pPr>
        <w:widowControl w:val="0"/>
        <w:autoSpaceDE w:val="0"/>
        <w:autoSpaceDN w:val="0"/>
        <w:adjustRightInd w:val="0"/>
        <w:spacing w:before="120" w:after="0" w:line="240" w:lineRule="auto"/>
        <w:rPr>
          <w:rFonts w:cstheme="minorHAnsi"/>
          <w:sz w:val="24"/>
          <w:szCs w:val="24"/>
        </w:rPr>
      </w:pPr>
      <w:r>
        <w:rPr>
          <w:rFonts w:cstheme="minorHAnsi"/>
          <w:sz w:val="24"/>
          <w:szCs w:val="24"/>
        </w:rPr>
        <w:t xml:space="preserve">The Camanche Iowa tornado of 1860 that killed fifty and flattened the town may have left a clue as to why John King was in Geneva. Lucius Howard was in Clinton IA on the 6 June 1860 in the role of hotel proprietor. Lyons was a Mississippi River town about fifteen miles north of </w:t>
      </w:r>
      <w:proofErr w:type="spellStart"/>
      <w:r>
        <w:rPr>
          <w:rFonts w:cstheme="minorHAnsi"/>
          <w:sz w:val="24"/>
          <w:szCs w:val="24"/>
        </w:rPr>
        <w:t>Camache</w:t>
      </w:r>
      <w:proofErr w:type="spellEnd"/>
      <w:r>
        <w:rPr>
          <w:rFonts w:cstheme="minorHAnsi"/>
          <w:sz w:val="24"/>
          <w:szCs w:val="24"/>
        </w:rPr>
        <w:t>, also on the River. The Mississippi is relatively narrow between Fulton on the Illinois side and Lyons (now part of the City of Clinton), so a ferry operated there beginning in the mid-</w:t>
      </w:r>
      <w:r>
        <w:rPr>
          <w:rFonts w:cstheme="minorHAnsi"/>
          <w:sz w:val="24"/>
          <w:szCs w:val="24"/>
        </w:rPr>
        <w:lastRenderedPageBreak/>
        <w:t xml:space="preserve">1830s. </w:t>
      </w:r>
    </w:p>
    <w:p w14:paraId="28BFAC23" w14:textId="70D1C049" w:rsidR="00601AA5" w:rsidRDefault="00163562" w:rsidP="00163562">
      <w:pPr>
        <w:spacing w:after="192"/>
      </w:pPr>
      <w:r>
        <w:rPr>
          <w:rFonts w:cstheme="minorHAnsi"/>
          <w:sz w:val="24"/>
          <w:szCs w:val="24"/>
        </w:rPr>
        <w:t xml:space="preserve">In the immediate aftermath of the disastrous tornado, the people of Clinton and Lyons formed a </w:t>
      </w:r>
      <w:r>
        <w:rPr>
          <w:noProof/>
        </w:rPr>
        <w:drawing>
          <wp:anchor distT="0" distB="0" distL="114300" distR="114300" simplePos="0" relativeHeight="251662336" behindDoc="1" locked="0" layoutInCell="1" allowOverlap="1" wp14:anchorId="589BC16B" wp14:editId="6A5816F0">
            <wp:simplePos x="0" y="0"/>
            <wp:positionH relativeFrom="margin">
              <wp:align>left</wp:align>
            </wp:positionH>
            <wp:positionV relativeFrom="paragraph">
              <wp:posOffset>0</wp:posOffset>
            </wp:positionV>
            <wp:extent cx="2183883" cy="2178050"/>
            <wp:effectExtent l="0" t="0" r="6985" b="0"/>
            <wp:wrapTight wrapText="bothSides">
              <wp:wrapPolygon edited="0">
                <wp:start x="0" y="0"/>
                <wp:lineTo x="0" y="21348"/>
                <wp:lineTo x="21481" y="21348"/>
                <wp:lineTo x="21481" y="0"/>
                <wp:lineTo x="0" y="0"/>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83883" cy="2178050"/>
                    </a:xfrm>
                    <a:prstGeom prst="rect">
                      <a:avLst/>
                    </a:prstGeom>
                  </pic:spPr>
                </pic:pic>
              </a:graphicData>
            </a:graphic>
          </wp:anchor>
        </w:drawing>
      </w:r>
      <w:r>
        <w:rPr>
          <w:rFonts w:cstheme="minorHAnsi"/>
          <w:sz w:val="24"/>
          <w:szCs w:val="24"/>
        </w:rPr>
        <w:t>relief committee of five. One was the hotel proprietor Lucius Howard.</w:t>
      </w:r>
      <w:r>
        <w:rPr>
          <w:rStyle w:val="FootnoteReference"/>
          <w:rFonts w:cstheme="minorHAnsi"/>
          <w:sz w:val="24"/>
          <w:szCs w:val="24"/>
        </w:rPr>
        <w:footnoteReference w:id="55"/>
      </w:r>
      <w:r>
        <w:rPr>
          <w:rFonts w:cstheme="minorHAnsi"/>
          <w:sz w:val="24"/>
          <w:szCs w:val="24"/>
        </w:rPr>
        <w:t xml:space="preserve"> Lucius Howard moved to Clinton, Iowa, in 1859 to conduct the </w:t>
      </w:r>
      <w:r w:rsidR="003C6F8E">
        <w:rPr>
          <w:rFonts w:cstheme="minorHAnsi"/>
          <w:sz w:val="24"/>
          <w:szCs w:val="24"/>
        </w:rPr>
        <w:t>“</w:t>
      </w:r>
      <w:r>
        <w:rPr>
          <w:rFonts w:cstheme="minorHAnsi"/>
          <w:sz w:val="24"/>
          <w:szCs w:val="24"/>
        </w:rPr>
        <w:t>Iowa Central House.</w:t>
      </w:r>
      <w:r w:rsidR="003C6F8E">
        <w:rPr>
          <w:rFonts w:cstheme="minorHAnsi"/>
          <w:sz w:val="24"/>
          <w:szCs w:val="24"/>
        </w:rPr>
        <w:t>”</w:t>
      </w:r>
      <w:r>
        <w:rPr>
          <w:rStyle w:val="FootnoteReference"/>
          <w:rFonts w:cstheme="minorHAnsi"/>
          <w:sz w:val="24"/>
          <w:szCs w:val="24"/>
        </w:rPr>
        <w:footnoteReference w:id="56"/>
      </w:r>
      <w:r>
        <w:rPr>
          <w:rFonts w:cstheme="minorHAnsi"/>
          <w:sz w:val="24"/>
          <w:szCs w:val="24"/>
        </w:rPr>
        <w:t xml:space="preserve"> The financial collapse of 1857 was unkind to hoteliers. The same Civil War draft census of the summer of 1863 that found Geneva</w:t>
      </w:r>
      <w:r w:rsidR="003C6F8E">
        <w:rPr>
          <w:rFonts w:cstheme="minorHAnsi"/>
          <w:sz w:val="24"/>
          <w:szCs w:val="24"/>
        </w:rPr>
        <w:t>’</w:t>
      </w:r>
      <w:r>
        <w:rPr>
          <w:rFonts w:cstheme="minorHAnsi"/>
          <w:sz w:val="24"/>
          <w:szCs w:val="24"/>
        </w:rPr>
        <w:t xml:space="preserve">s John King in Libby Prison instead of Geneva listed Lucius Howard in Lyons, IA as a grocer. Howard must have gazed longingly at the new 350 room Randall House built by the Randall </w:t>
      </w:r>
      <w:r w:rsidRPr="004A42D3">
        <w:rPr>
          <w:rFonts w:cstheme="minorHAnsi"/>
          <w:sz w:val="24"/>
          <w:szCs w:val="24"/>
        </w:rPr>
        <w:t xml:space="preserve">Brothers of Baltimore on speculation in 1856. The crash of </w:t>
      </w:r>
      <w:r w:rsidR="003C6F8E">
        <w:rPr>
          <w:rFonts w:cstheme="minorHAnsi"/>
          <w:sz w:val="24"/>
          <w:szCs w:val="24"/>
        </w:rPr>
        <w:t>’</w:t>
      </w:r>
      <w:r w:rsidRPr="004A42D3">
        <w:rPr>
          <w:rFonts w:cstheme="minorHAnsi"/>
          <w:sz w:val="24"/>
          <w:szCs w:val="24"/>
        </w:rPr>
        <w:t>57 was so severe that, despite its five-story brick outhouse, Randall House never found an operator in Lyons.</w:t>
      </w:r>
      <w:r w:rsidRPr="004A42D3">
        <w:rPr>
          <w:rStyle w:val="FootnoteReference"/>
          <w:rFonts w:cstheme="minorHAnsi"/>
          <w:sz w:val="24"/>
          <w:szCs w:val="24"/>
        </w:rPr>
        <w:footnoteReference w:id="57"/>
      </w:r>
      <w:r w:rsidRPr="004A42D3">
        <w:rPr>
          <w:rFonts w:cstheme="minorHAnsi"/>
          <w:sz w:val="24"/>
          <w:szCs w:val="24"/>
        </w:rPr>
        <w:t xml:space="preserve"> The Lincoln Highway crossed the Mississippi at the Lyons-Fulton narrows bridge from 1891 until 1975 when it was demolished.</w:t>
      </w:r>
    </w:p>
    <w:sectPr w:rsidR="00601AA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44EA0F" w14:textId="77777777" w:rsidR="00DF59E4" w:rsidRDefault="00DF59E4" w:rsidP="00163562">
      <w:pPr>
        <w:spacing w:after="0" w:line="240" w:lineRule="auto"/>
      </w:pPr>
      <w:r>
        <w:separator/>
      </w:r>
    </w:p>
  </w:endnote>
  <w:endnote w:type="continuationSeparator" w:id="0">
    <w:p w14:paraId="09B9F9F1" w14:textId="77777777" w:rsidR="00DF59E4" w:rsidRDefault="00DF59E4" w:rsidP="001635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1B8742" w14:textId="77777777" w:rsidR="00DF59E4" w:rsidRDefault="00DF59E4" w:rsidP="00163562">
      <w:pPr>
        <w:spacing w:after="0" w:line="240" w:lineRule="auto"/>
      </w:pPr>
      <w:r>
        <w:separator/>
      </w:r>
    </w:p>
  </w:footnote>
  <w:footnote w:type="continuationSeparator" w:id="0">
    <w:p w14:paraId="571D9091" w14:textId="77777777" w:rsidR="00DF59E4" w:rsidRDefault="00DF59E4" w:rsidP="00163562">
      <w:pPr>
        <w:spacing w:after="0" w:line="240" w:lineRule="auto"/>
      </w:pPr>
      <w:r>
        <w:continuationSeparator/>
      </w:r>
    </w:p>
  </w:footnote>
  <w:footnote w:id="1">
    <w:p w14:paraId="3AE1ADBF" w14:textId="12F5F731" w:rsidR="006444FC" w:rsidRPr="00CD2B07" w:rsidRDefault="006444FC" w:rsidP="00A72A2C">
      <w:pPr>
        <w:pStyle w:val="FootnoteText"/>
        <w:rPr>
          <w:rFonts w:asciiTheme="majorHAnsi" w:hAnsiTheme="majorHAnsi" w:cstheme="majorHAnsi"/>
        </w:rPr>
      </w:pPr>
      <w:r w:rsidRPr="00CD2B07">
        <w:rPr>
          <w:rStyle w:val="FootnoteReference"/>
          <w:rFonts w:asciiTheme="majorHAnsi" w:hAnsiTheme="majorHAnsi" w:cstheme="majorHAnsi"/>
        </w:rPr>
        <w:footnoteRef/>
      </w:r>
      <w:r w:rsidRPr="00CD2B07">
        <w:rPr>
          <w:rFonts w:asciiTheme="majorHAnsi" w:hAnsiTheme="majorHAnsi" w:cstheme="majorHAnsi"/>
        </w:rPr>
        <w:t xml:space="preserve"> </w:t>
      </w:r>
      <w:r w:rsidR="00B00281" w:rsidRPr="00CD2B07">
        <w:rPr>
          <w:rFonts w:asciiTheme="majorHAnsi" w:hAnsiTheme="majorHAnsi" w:cstheme="majorHAnsi"/>
          <w:shd w:val="clear" w:color="auto" w:fill="FFFFFF"/>
        </w:rPr>
        <w:t>Ancestry.com. </w:t>
      </w:r>
      <w:r w:rsidR="00B00281" w:rsidRPr="00CD2B07">
        <w:rPr>
          <w:rFonts w:asciiTheme="majorHAnsi" w:hAnsiTheme="majorHAnsi" w:cstheme="majorHAnsi"/>
          <w:i/>
          <w:iCs/>
          <w:shd w:val="clear" w:color="auto" w:fill="FFFFFF"/>
        </w:rPr>
        <w:t>U.S., School Catalogs, 1765-1935</w:t>
      </w:r>
      <w:r w:rsidR="00B00281" w:rsidRPr="00CD2B07">
        <w:rPr>
          <w:rFonts w:asciiTheme="majorHAnsi" w:hAnsiTheme="majorHAnsi" w:cstheme="majorHAnsi"/>
          <w:shd w:val="clear" w:color="auto" w:fill="FFFFFF"/>
        </w:rPr>
        <w:t> [database on-line]. Provo, UT, USA: Ancestry.com Operations, Inc., 2012.</w:t>
      </w:r>
      <w:r w:rsidR="006E4127" w:rsidRPr="00CD2B07">
        <w:rPr>
          <w:rFonts w:asciiTheme="majorHAnsi" w:hAnsiTheme="majorHAnsi" w:cstheme="majorHAnsi"/>
          <w:shd w:val="clear" w:color="auto" w:fill="FFFFFF"/>
        </w:rPr>
        <w:t xml:space="preserve"> </w:t>
      </w:r>
      <w:hyperlink r:id="rId1" w:history="1">
        <w:r w:rsidR="006E4127" w:rsidRPr="000D1B2D">
          <w:rPr>
            <w:rStyle w:val="Hyperlink"/>
            <w:rFonts w:asciiTheme="majorHAnsi" w:hAnsiTheme="majorHAnsi" w:cstheme="majorHAnsi"/>
            <w:color w:val="0070C0"/>
          </w:rPr>
          <w:t>https://www.ancestry.com/imageviewer/collections/2203/images/32761_622204_0352-00016?ssrc=pt&amp;treeid=156384512&amp;personid=262063405466&amp;hintid=&amp;usePUB=true&amp;usePUBJs=true&amp;_ga=2.139521843.1685814643.1601735120-1659798538.1590</w:t>
        </w:r>
        <w:r w:rsidR="006E4127" w:rsidRPr="000D1B2D">
          <w:rPr>
            <w:rStyle w:val="Hyperlink"/>
            <w:rFonts w:asciiTheme="majorHAnsi" w:hAnsiTheme="majorHAnsi" w:cstheme="majorHAnsi"/>
            <w:color w:val="0070C0"/>
          </w:rPr>
          <w:t>9</w:t>
        </w:r>
        <w:r w:rsidR="006E4127" w:rsidRPr="000D1B2D">
          <w:rPr>
            <w:rStyle w:val="Hyperlink"/>
            <w:rFonts w:asciiTheme="majorHAnsi" w:hAnsiTheme="majorHAnsi" w:cstheme="majorHAnsi"/>
            <w:color w:val="0070C0"/>
          </w:rPr>
          <w:t>21733&amp;pId=921324</w:t>
        </w:r>
      </w:hyperlink>
    </w:p>
  </w:footnote>
  <w:footnote w:id="2">
    <w:p w14:paraId="08BB2E8E" w14:textId="660FD82A" w:rsidR="00A56FBB" w:rsidRPr="00CD2B07" w:rsidRDefault="00A56FBB" w:rsidP="00A72A2C">
      <w:pPr>
        <w:autoSpaceDE w:val="0"/>
        <w:autoSpaceDN w:val="0"/>
        <w:adjustRightInd w:val="0"/>
        <w:spacing w:after="0" w:line="240" w:lineRule="auto"/>
        <w:rPr>
          <w:rFonts w:ascii="Segoe UI" w:hAnsi="Segoe UI" w:cs="Segoe UI"/>
          <w:sz w:val="18"/>
          <w:szCs w:val="18"/>
        </w:rPr>
      </w:pPr>
      <w:r w:rsidRPr="00CD2B07">
        <w:rPr>
          <w:rStyle w:val="FootnoteReference"/>
          <w:rFonts w:asciiTheme="majorHAnsi" w:hAnsiTheme="majorHAnsi" w:cstheme="majorHAnsi"/>
          <w:sz w:val="20"/>
          <w:szCs w:val="20"/>
        </w:rPr>
        <w:footnoteRef/>
      </w:r>
      <w:r w:rsidRPr="00CD2B07">
        <w:rPr>
          <w:rFonts w:asciiTheme="majorHAnsi" w:hAnsiTheme="majorHAnsi" w:cstheme="majorHAnsi"/>
          <w:sz w:val="20"/>
          <w:szCs w:val="20"/>
        </w:rPr>
        <w:t xml:space="preserve"> </w:t>
      </w:r>
      <w:r w:rsidR="00CD2B07" w:rsidRPr="00CD2B07">
        <w:rPr>
          <w:rFonts w:asciiTheme="majorHAnsi" w:hAnsiTheme="majorHAnsi" w:cstheme="majorHAnsi"/>
          <w:sz w:val="20"/>
          <w:szCs w:val="20"/>
        </w:rPr>
        <w:t xml:space="preserve">Stevens, K. </w:t>
      </w:r>
      <w:r w:rsidR="00CD2B07" w:rsidRPr="00CD2B07">
        <w:rPr>
          <w:rFonts w:asciiTheme="majorHAnsi" w:hAnsiTheme="majorHAnsi" w:cstheme="majorHAnsi"/>
          <w:i/>
          <w:iCs/>
          <w:sz w:val="20"/>
          <w:szCs w:val="20"/>
        </w:rPr>
        <w:t>Descendants of Henry Wilson of Dedham, Massachusetts.</w:t>
      </w:r>
      <w:r w:rsidR="00CD2B07" w:rsidRPr="00CD2B07">
        <w:rPr>
          <w:rFonts w:asciiTheme="majorHAnsi" w:hAnsiTheme="majorHAnsi" w:cstheme="majorHAnsi"/>
          <w:sz w:val="20"/>
          <w:szCs w:val="20"/>
        </w:rPr>
        <w:t xml:space="preserve"> K. Stevens, 1996. </w:t>
      </w:r>
      <w:r w:rsidR="00CD2B07" w:rsidRPr="00CD2B07">
        <w:rPr>
          <w:rFonts w:asciiTheme="majorHAnsi" w:hAnsiTheme="majorHAnsi" w:cstheme="majorHAnsi"/>
          <w:sz w:val="20"/>
          <w:szCs w:val="20"/>
        </w:rPr>
        <w:t xml:space="preserve">p190-1. </w:t>
      </w:r>
      <w:hyperlink r:id="rId2" w:history="1">
        <w:r w:rsidR="00CD2B07" w:rsidRPr="00CD2B07">
          <w:rPr>
            <w:rStyle w:val="Hyperlink"/>
            <w:rFonts w:asciiTheme="majorHAnsi" w:hAnsiTheme="majorHAnsi" w:cstheme="majorHAnsi"/>
            <w:sz w:val="20"/>
            <w:szCs w:val="20"/>
          </w:rPr>
          <w:t>https://books.google.com/books?id=a6NbAAAAMAAJ</w:t>
        </w:r>
      </w:hyperlink>
      <w:r w:rsidR="00CD2B07" w:rsidRPr="00CD2B07">
        <w:rPr>
          <w:rFonts w:asciiTheme="majorHAnsi" w:hAnsiTheme="majorHAnsi" w:cstheme="majorHAnsi"/>
          <w:sz w:val="20"/>
          <w:szCs w:val="20"/>
        </w:rPr>
        <w:t xml:space="preserve"> </w:t>
      </w:r>
    </w:p>
  </w:footnote>
  <w:footnote w:id="3">
    <w:p w14:paraId="5074D2B3" w14:textId="4D3AE880" w:rsidR="00163562" w:rsidRPr="00127B7A" w:rsidRDefault="00163562" w:rsidP="00163562">
      <w:pPr>
        <w:pStyle w:val="FootnoteText"/>
        <w:rPr>
          <w:rFonts w:asciiTheme="majorHAnsi" w:hAnsiTheme="majorHAnsi" w:cstheme="majorHAnsi"/>
        </w:rPr>
      </w:pPr>
      <w:r w:rsidRPr="00127B7A">
        <w:rPr>
          <w:rStyle w:val="FootnoteReference"/>
          <w:rFonts w:asciiTheme="majorHAnsi" w:hAnsiTheme="majorHAnsi" w:cstheme="majorHAnsi"/>
        </w:rPr>
        <w:footnoteRef/>
      </w:r>
      <w:r w:rsidRPr="00127B7A">
        <w:rPr>
          <w:rFonts w:asciiTheme="majorHAnsi" w:hAnsiTheme="majorHAnsi" w:cstheme="majorHAnsi"/>
        </w:rPr>
        <w:t xml:space="preserve"> Joslyn, p491.</w:t>
      </w:r>
      <w:r w:rsidR="0005502B" w:rsidRPr="00127B7A">
        <w:rPr>
          <w:rFonts w:asciiTheme="majorHAnsi" w:hAnsiTheme="majorHAnsi" w:cstheme="majorHAnsi"/>
        </w:rPr>
        <w:t xml:space="preserve"> Later, from 1846 to </w:t>
      </w:r>
      <w:r w:rsidR="00821BAB" w:rsidRPr="00127B7A">
        <w:rPr>
          <w:rFonts w:asciiTheme="majorHAnsi" w:hAnsiTheme="majorHAnsi" w:cstheme="majorHAnsi"/>
        </w:rPr>
        <w:t>1850 Wilson was the partner of S</w:t>
      </w:r>
      <w:r w:rsidR="00693C8B" w:rsidRPr="00127B7A">
        <w:rPr>
          <w:rFonts w:asciiTheme="majorHAnsi" w:hAnsiTheme="majorHAnsi" w:cstheme="majorHAnsi"/>
        </w:rPr>
        <w:t>i</w:t>
      </w:r>
      <w:r w:rsidR="00821BAB" w:rsidRPr="00127B7A">
        <w:rPr>
          <w:rFonts w:asciiTheme="majorHAnsi" w:hAnsiTheme="majorHAnsi" w:cstheme="majorHAnsi"/>
        </w:rPr>
        <w:t>lvanus Wilcox in Elgin.</w:t>
      </w:r>
      <w:r w:rsidR="00E775DF" w:rsidRPr="00127B7A">
        <w:rPr>
          <w:rFonts w:asciiTheme="majorHAnsi" w:hAnsiTheme="majorHAnsi" w:cstheme="majorHAnsi"/>
        </w:rPr>
        <w:t xml:space="preserve"> </w:t>
      </w:r>
      <w:r w:rsidR="00E775DF" w:rsidRPr="00127B7A">
        <w:rPr>
          <w:rFonts w:asciiTheme="majorHAnsi" w:hAnsiTheme="majorHAnsi" w:cstheme="majorHAnsi"/>
          <w:i/>
          <w:iCs/>
        </w:rPr>
        <w:t xml:space="preserve">The </w:t>
      </w:r>
      <w:proofErr w:type="spellStart"/>
      <w:r w:rsidR="00E775DF" w:rsidRPr="00127B7A">
        <w:rPr>
          <w:rFonts w:asciiTheme="majorHAnsi" w:hAnsiTheme="majorHAnsi" w:cstheme="majorHAnsi"/>
          <w:i/>
          <w:iCs/>
        </w:rPr>
        <w:t>Crackerbarrel</w:t>
      </w:r>
      <w:proofErr w:type="spellEnd"/>
      <w:r w:rsidR="00E775DF" w:rsidRPr="00127B7A">
        <w:rPr>
          <w:rFonts w:asciiTheme="majorHAnsi" w:hAnsiTheme="majorHAnsi" w:cstheme="majorHAnsi"/>
        </w:rPr>
        <w:t>. Jan. 2019 Vol 56, No1, p5.</w:t>
      </w:r>
      <w:r w:rsidR="006D7EC3" w:rsidRPr="00127B7A">
        <w:rPr>
          <w:rFonts w:asciiTheme="majorHAnsi" w:hAnsiTheme="majorHAnsi" w:cstheme="majorHAnsi"/>
        </w:rPr>
        <w:t xml:space="preserve"> </w:t>
      </w:r>
    </w:p>
  </w:footnote>
  <w:footnote w:id="4">
    <w:p w14:paraId="2CC3EAE1" w14:textId="6F058817" w:rsidR="00163562" w:rsidRPr="00127B7A" w:rsidRDefault="00163562" w:rsidP="00163562">
      <w:pPr>
        <w:pStyle w:val="FootnoteText"/>
        <w:rPr>
          <w:rFonts w:asciiTheme="majorHAnsi" w:hAnsiTheme="majorHAnsi" w:cstheme="majorHAnsi"/>
        </w:rPr>
      </w:pPr>
      <w:r w:rsidRPr="00127B7A">
        <w:rPr>
          <w:rStyle w:val="FootnoteReference"/>
          <w:rFonts w:asciiTheme="majorHAnsi" w:hAnsiTheme="majorHAnsi" w:cstheme="majorHAnsi"/>
        </w:rPr>
        <w:footnoteRef/>
      </w:r>
      <w:r w:rsidRPr="00127B7A">
        <w:rPr>
          <w:rFonts w:asciiTheme="majorHAnsi" w:hAnsiTheme="majorHAnsi" w:cstheme="majorHAnsi"/>
        </w:rPr>
        <w:t xml:space="preserve"> </w:t>
      </w:r>
      <w:r w:rsidR="00E646B0" w:rsidRPr="00127B7A">
        <w:rPr>
          <w:rFonts w:asciiTheme="majorHAnsi" w:hAnsiTheme="majorHAnsi" w:cstheme="majorHAnsi"/>
          <w:i/>
          <w:iCs/>
        </w:rPr>
        <w:t>The History of Elgin</w:t>
      </w:r>
      <w:r w:rsidR="00523A9A" w:rsidRPr="00127B7A">
        <w:rPr>
          <w:rFonts w:asciiTheme="majorHAnsi" w:hAnsiTheme="majorHAnsi" w:cstheme="majorHAnsi"/>
          <w:i/>
          <w:iCs/>
        </w:rPr>
        <w:t>, Kane County, Illinois 1835-1875</w:t>
      </w:r>
      <w:r w:rsidR="00F93887" w:rsidRPr="00127B7A">
        <w:rPr>
          <w:rFonts w:asciiTheme="majorHAnsi" w:hAnsiTheme="majorHAnsi" w:cstheme="majorHAnsi"/>
        </w:rPr>
        <w:t>. Lord &amp; Bradford</w:t>
      </w:r>
      <w:r w:rsidR="00C5075F" w:rsidRPr="00127B7A">
        <w:rPr>
          <w:rFonts w:asciiTheme="majorHAnsi" w:hAnsiTheme="majorHAnsi" w:cstheme="majorHAnsi"/>
        </w:rPr>
        <w:t xml:space="preserve">, </w:t>
      </w:r>
      <w:proofErr w:type="spellStart"/>
      <w:proofErr w:type="gramStart"/>
      <w:r w:rsidR="00C5075F" w:rsidRPr="00127B7A">
        <w:rPr>
          <w:rFonts w:asciiTheme="majorHAnsi" w:hAnsiTheme="majorHAnsi" w:cstheme="majorHAnsi"/>
        </w:rPr>
        <w:t>Elgin,Il</w:t>
      </w:r>
      <w:proofErr w:type="spellEnd"/>
      <w:proofErr w:type="gramEnd"/>
      <w:r w:rsidR="00C5075F" w:rsidRPr="00127B7A">
        <w:rPr>
          <w:rFonts w:asciiTheme="majorHAnsi" w:hAnsiTheme="majorHAnsi" w:cstheme="majorHAnsi"/>
        </w:rPr>
        <w:t>, 1875.</w:t>
      </w:r>
      <w:r w:rsidR="008E7369" w:rsidRPr="00127B7A">
        <w:rPr>
          <w:rFonts w:asciiTheme="majorHAnsi" w:hAnsiTheme="majorHAnsi" w:cstheme="majorHAnsi"/>
        </w:rPr>
        <w:t xml:space="preserve"> p88.</w:t>
      </w:r>
      <w:r w:rsidR="00CB3965" w:rsidRPr="00127B7A">
        <w:rPr>
          <w:rFonts w:asciiTheme="majorHAnsi" w:hAnsiTheme="majorHAnsi" w:cstheme="majorHAnsi"/>
        </w:rPr>
        <w:t xml:space="preserve"> </w:t>
      </w:r>
      <w:hyperlink r:id="rId3" w:history="1">
        <w:r w:rsidR="00CB3965" w:rsidRPr="00127B7A">
          <w:rPr>
            <w:rStyle w:val="Hyperlink"/>
            <w:rFonts w:asciiTheme="majorHAnsi" w:hAnsiTheme="majorHAnsi" w:cstheme="majorHAnsi"/>
            <w:color w:val="auto"/>
          </w:rPr>
          <w:t>https://archive.org/search.php?query=external-identifier%3A%22urn%3</w:t>
        </w:r>
        <w:r w:rsidR="00CB3965" w:rsidRPr="00127B7A">
          <w:rPr>
            <w:rStyle w:val="Hyperlink"/>
            <w:rFonts w:asciiTheme="majorHAnsi" w:hAnsiTheme="majorHAnsi" w:cstheme="majorHAnsi"/>
            <w:color w:val="auto"/>
          </w:rPr>
          <w:t>A</w:t>
        </w:r>
        <w:r w:rsidR="00CB3965" w:rsidRPr="00127B7A">
          <w:rPr>
            <w:rStyle w:val="Hyperlink"/>
            <w:rFonts w:asciiTheme="majorHAnsi" w:hAnsiTheme="majorHAnsi" w:cstheme="majorHAnsi"/>
            <w:color w:val="auto"/>
          </w:rPr>
          <w:t>oclc%3Arecord%3A1046534457%22</w:t>
        </w:r>
      </w:hyperlink>
      <w:r w:rsidR="00CB3965" w:rsidRPr="00127B7A">
        <w:rPr>
          <w:rFonts w:asciiTheme="majorHAnsi" w:hAnsiTheme="majorHAnsi" w:cstheme="majorHAnsi"/>
        </w:rPr>
        <w:t xml:space="preserve"> </w:t>
      </w:r>
    </w:p>
  </w:footnote>
  <w:footnote w:id="5">
    <w:p w14:paraId="16C1BBAE" w14:textId="2C5569A5" w:rsidR="004D1DEC" w:rsidRPr="00127B7A" w:rsidRDefault="004D1DEC">
      <w:pPr>
        <w:pStyle w:val="FootnoteText"/>
        <w:rPr>
          <w:rFonts w:asciiTheme="majorHAnsi" w:hAnsiTheme="majorHAnsi" w:cstheme="majorHAnsi"/>
        </w:rPr>
      </w:pPr>
      <w:r w:rsidRPr="00127B7A">
        <w:rPr>
          <w:rStyle w:val="FootnoteReference"/>
          <w:rFonts w:asciiTheme="majorHAnsi" w:hAnsiTheme="majorHAnsi" w:cstheme="majorHAnsi"/>
        </w:rPr>
        <w:footnoteRef/>
      </w:r>
      <w:r w:rsidRPr="00127B7A">
        <w:rPr>
          <w:rFonts w:asciiTheme="majorHAnsi" w:hAnsiTheme="majorHAnsi" w:cstheme="majorHAnsi"/>
        </w:rPr>
        <w:t xml:space="preserve"> </w:t>
      </w:r>
      <w:r w:rsidR="00F112A4" w:rsidRPr="00127B7A">
        <w:rPr>
          <w:rFonts w:asciiTheme="majorHAnsi" w:hAnsiTheme="majorHAnsi" w:cstheme="majorHAnsi"/>
          <w:i/>
          <w:iCs/>
        </w:rPr>
        <w:t>Elgin Weekly Gazette</w:t>
      </w:r>
      <w:r w:rsidR="00586A08" w:rsidRPr="00127B7A">
        <w:rPr>
          <w:rFonts w:asciiTheme="majorHAnsi" w:hAnsiTheme="majorHAnsi" w:cstheme="majorHAnsi"/>
        </w:rPr>
        <w:t>, 5 Dec 1861, p1.</w:t>
      </w:r>
    </w:p>
  </w:footnote>
  <w:footnote w:id="6">
    <w:p w14:paraId="73168902" w14:textId="77777777" w:rsidR="00163562" w:rsidRPr="00127B7A" w:rsidRDefault="00163562" w:rsidP="00163562">
      <w:pPr>
        <w:autoSpaceDE w:val="0"/>
        <w:autoSpaceDN w:val="0"/>
        <w:adjustRightInd w:val="0"/>
        <w:spacing w:after="0" w:line="240" w:lineRule="auto"/>
        <w:rPr>
          <w:rFonts w:asciiTheme="majorHAnsi" w:hAnsiTheme="majorHAnsi" w:cstheme="majorHAnsi"/>
          <w:sz w:val="20"/>
          <w:szCs w:val="20"/>
        </w:rPr>
      </w:pPr>
      <w:r w:rsidRPr="00127B7A">
        <w:rPr>
          <w:rStyle w:val="FootnoteReference"/>
          <w:rFonts w:asciiTheme="majorHAnsi" w:hAnsiTheme="majorHAnsi" w:cstheme="majorHAnsi"/>
          <w:sz w:val="20"/>
          <w:szCs w:val="20"/>
        </w:rPr>
        <w:footnoteRef/>
      </w:r>
      <w:r w:rsidRPr="00127B7A">
        <w:rPr>
          <w:rFonts w:asciiTheme="majorHAnsi" w:hAnsiTheme="majorHAnsi" w:cstheme="majorHAnsi"/>
          <w:sz w:val="20"/>
          <w:szCs w:val="20"/>
        </w:rPr>
        <w:t xml:space="preserve"> John King graduated from Harvard in 1839. For Wilson bio see Durant, P.A., H.C. </w:t>
      </w:r>
      <w:proofErr w:type="spellStart"/>
      <w:r w:rsidRPr="00127B7A">
        <w:rPr>
          <w:rFonts w:asciiTheme="majorHAnsi" w:hAnsiTheme="majorHAnsi" w:cstheme="majorHAnsi"/>
          <w:sz w:val="20"/>
          <w:szCs w:val="20"/>
        </w:rPr>
        <w:t>Bradsby</w:t>
      </w:r>
      <w:proofErr w:type="spellEnd"/>
      <w:r w:rsidRPr="00127B7A">
        <w:rPr>
          <w:rFonts w:asciiTheme="majorHAnsi" w:hAnsiTheme="majorHAnsi" w:cstheme="majorHAnsi"/>
          <w:sz w:val="20"/>
          <w:szCs w:val="20"/>
        </w:rPr>
        <w:t xml:space="preserve">, and S.W. Durant. </w:t>
      </w:r>
      <w:r w:rsidRPr="00127B7A">
        <w:rPr>
          <w:rFonts w:asciiTheme="majorHAnsi" w:hAnsiTheme="majorHAnsi" w:cstheme="majorHAnsi"/>
          <w:i/>
          <w:iCs/>
          <w:sz w:val="20"/>
          <w:szCs w:val="20"/>
        </w:rPr>
        <w:t>Commemorative Biographical and Historical Record of Kane County, Illinois: Containing Portraits and Biographical Sketches of Prominent Citizens, Governors of Illinois, Presidents of the United States, Also Containing a History of the County</w:t>
      </w:r>
      <w:r w:rsidRPr="00127B7A">
        <w:rPr>
          <w:rFonts w:asciiTheme="majorHAnsi" w:hAnsiTheme="majorHAnsi" w:cstheme="majorHAnsi"/>
          <w:sz w:val="20"/>
          <w:szCs w:val="20"/>
        </w:rPr>
        <w:t xml:space="preserve">. Beers, Legget,1888. p198-9. School, Harvard Law, and Harvard Law School. Association. </w:t>
      </w:r>
      <w:r w:rsidRPr="00127B7A">
        <w:rPr>
          <w:rFonts w:asciiTheme="majorHAnsi" w:hAnsiTheme="majorHAnsi" w:cstheme="majorHAnsi"/>
          <w:i/>
          <w:iCs/>
          <w:sz w:val="20"/>
          <w:szCs w:val="20"/>
        </w:rPr>
        <w:t>Quinquennial Catalogue of the Law School of Harvard University.</w:t>
      </w:r>
      <w:r w:rsidRPr="00127B7A">
        <w:rPr>
          <w:rFonts w:asciiTheme="majorHAnsi" w:hAnsiTheme="majorHAnsi" w:cstheme="majorHAnsi"/>
          <w:sz w:val="20"/>
          <w:szCs w:val="20"/>
        </w:rPr>
        <w:t xml:space="preserve"> The School, 1920. p272.</w:t>
      </w:r>
    </w:p>
    <w:p w14:paraId="429318AC" w14:textId="326B9EC6" w:rsidR="00163562" w:rsidRPr="00127B7A" w:rsidRDefault="00DF59E4" w:rsidP="00163562">
      <w:pPr>
        <w:autoSpaceDE w:val="0"/>
        <w:autoSpaceDN w:val="0"/>
        <w:adjustRightInd w:val="0"/>
        <w:spacing w:after="0" w:line="240" w:lineRule="auto"/>
        <w:rPr>
          <w:rFonts w:asciiTheme="majorHAnsi" w:hAnsiTheme="majorHAnsi" w:cstheme="majorHAnsi"/>
          <w:sz w:val="20"/>
          <w:szCs w:val="20"/>
        </w:rPr>
      </w:pPr>
      <w:hyperlink r:id="rId4" w:history="1">
        <w:r w:rsidR="00163562" w:rsidRPr="00127B7A">
          <w:rPr>
            <w:rStyle w:val="Hyperlink"/>
            <w:rFonts w:asciiTheme="majorHAnsi" w:hAnsiTheme="majorHAnsi" w:cstheme="majorHAnsi"/>
            <w:color w:val="auto"/>
            <w:sz w:val="20"/>
            <w:szCs w:val="20"/>
          </w:rPr>
          <w:t>https://books.google.com/books?id=9lNMAQAAMAAJ</w:t>
        </w:r>
      </w:hyperlink>
      <w:r w:rsidR="002753A7" w:rsidRPr="00127B7A">
        <w:rPr>
          <w:rFonts w:asciiTheme="majorHAnsi" w:hAnsiTheme="majorHAnsi" w:cstheme="majorHAnsi"/>
          <w:sz w:val="20"/>
          <w:szCs w:val="20"/>
        </w:rPr>
        <w:t xml:space="preserve"> </w:t>
      </w:r>
    </w:p>
    <w:p w14:paraId="20265D92" w14:textId="77777777" w:rsidR="00163562" w:rsidRPr="001D0E18" w:rsidRDefault="00DF59E4" w:rsidP="00163562">
      <w:pPr>
        <w:spacing w:after="0" w:line="240" w:lineRule="auto"/>
        <w:rPr>
          <w:rFonts w:asciiTheme="majorHAnsi" w:hAnsiTheme="majorHAnsi" w:cstheme="majorHAnsi"/>
          <w:sz w:val="20"/>
          <w:szCs w:val="20"/>
        </w:rPr>
      </w:pPr>
      <w:hyperlink r:id="rId5" w:history="1">
        <w:r w:rsidR="00163562" w:rsidRPr="00127B7A">
          <w:rPr>
            <w:rStyle w:val="Hyperlink"/>
            <w:rFonts w:asciiTheme="majorHAnsi" w:hAnsiTheme="majorHAnsi" w:cstheme="majorHAnsi"/>
            <w:color w:val="auto"/>
            <w:sz w:val="20"/>
            <w:szCs w:val="20"/>
          </w:rPr>
          <w:t>https://books.google.com/books?id=p454kgAACAAJ</w:t>
        </w:r>
      </w:hyperlink>
      <w:r w:rsidR="00163562" w:rsidRPr="00127B7A">
        <w:rPr>
          <w:rFonts w:asciiTheme="majorHAnsi" w:hAnsiTheme="majorHAnsi" w:cstheme="majorHAnsi"/>
          <w:sz w:val="20"/>
          <w:szCs w:val="20"/>
        </w:rPr>
        <w:t xml:space="preserve"> </w:t>
      </w:r>
    </w:p>
  </w:footnote>
  <w:footnote w:id="7">
    <w:p w14:paraId="7AE070C5" w14:textId="77777777" w:rsidR="00163562" w:rsidRPr="001D0E18" w:rsidRDefault="00163562" w:rsidP="00163562">
      <w:pPr>
        <w:autoSpaceDE w:val="0"/>
        <w:autoSpaceDN w:val="0"/>
        <w:adjustRightInd w:val="0"/>
        <w:spacing w:after="0" w:line="240" w:lineRule="auto"/>
        <w:rPr>
          <w:rFonts w:asciiTheme="majorHAnsi" w:hAnsiTheme="majorHAnsi" w:cstheme="majorHAnsi"/>
          <w:sz w:val="20"/>
          <w:szCs w:val="20"/>
        </w:rPr>
      </w:pPr>
      <w:r w:rsidRPr="001D0E18">
        <w:rPr>
          <w:rStyle w:val="FootnoteReference"/>
          <w:rFonts w:asciiTheme="majorHAnsi" w:hAnsiTheme="majorHAnsi" w:cstheme="majorHAnsi"/>
          <w:sz w:val="20"/>
          <w:szCs w:val="20"/>
        </w:rPr>
        <w:footnoteRef/>
      </w:r>
      <w:r w:rsidRPr="001D0E18">
        <w:rPr>
          <w:rFonts w:asciiTheme="majorHAnsi" w:hAnsiTheme="majorHAnsi" w:cstheme="majorHAnsi"/>
          <w:sz w:val="20"/>
          <w:szCs w:val="20"/>
        </w:rPr>
        <w:t xml:space="preserve"> Wilcox, C.M., and M.R. Wilcox. </w:t>
      </w:r>
      <w:r w:rsidRPr="001D0E18">
        <w:rPr>
          <w:rFonts w:asciiTheme="majorHAnsi" w:hAnsiTheme="majorHAnsi" w:cstheme="majorHAnsi"/>
          <w:i/>
          <w:iCs/>
          <w:sz w:val="20"/>
          <w:szCs w:val="20"/>
        </w:rPr>
        <w:t>History of the Mexican War.</w:t>
      </w:r>
      <w:r w:rsidRPr="001D0E18">
        <w:rPr>
          <w:rFonts w:asciiTheme="majorHAnsi" w:hAnsiTheme="majorHAnsi" w:cstheme="majorHAnsi"/>
          <w:sz w:val="20"/>
          <w:szCs w:val="20"/>
        </w:rPr>
        <w:t xml:space="preserve"> Church News Publishing Company, 1892. p661.</w:t>
      </w:r>
    </w:p>
    <w:p w14:paraId="0F532164" w14:textId="77777777" w:rsidR="00163562" w:rsidRPr="001D0E18" w:rsidRDefault="00DF59E4" w:rsidP="00163562">
      <w:pPr>
        <w:autoSpaceDE w:val="0"/>
        <w:autoSpaceDN w:val="0"/>
        <w:adjustRightInd w:val="0"/>
        <w:spacing w:after="0" w:line="240" w:lineRule="auto"/>
        <w:rPr>
          <w:rFonts w:asciiTheme="majorHAnsi" w:hAnsiTheme="majorHAnsi" w:cstheme="majorHAnsi"/>
          <w:sz w:val="20"/>
          <w:szCs w:val="20"/>
        </w:rPr>
      </w:pPr>
      <w:hyperlink r:id="rId6" w:history="1">
        <w:r w:rsidR="00163562" w:rsidRPr="001D0E18">
          <w:rPr>
            <w:rStyle w:val="Hyperlink"/>
            <w:rFonts w:asciiTheme="majorHAnsi" w:hAnsiTheme="majorHAnsi" w:cstheme="majorHAnsi"/>
            <w:color w:val="auto"/>
            <w:sz w:val="20"/>
            <w:szCs w:val="20"/>
          </w:rPr>
          <w:t>https://books.google.com/books?id=wyMuAAAAYAAJ</w:t>
        </w:r>
      </w:hyperlink>
      <w:r w:rsidR="00163562" w:rsidRPr="001D0E18">
        <w:rPr>
          <w:rFonts w:asciiTheme="majorHAnsi" w:hAnsiTheme="majorHAnsi" w:cstheme="majorHAnsi"/>
          <w:sz w:val="20"/>
          <w:szCs w:val="20"/>
        </w:rPr>
        <w:t xml:space="preserve"> </w:t>
      </w:r>
    </w:p>
  </w:footnote>
  <w:footnote w:id="8">
    <w:p w14:paraId="0334BB7E" w14:textId="77777777" w:rsidR="00163562" w:rsidRPr="00FE0FE9" w:rsidRDefault="00163562" w:rsidP="00163562">
      <w:pPr>
        <w:pStyle w:val="FootnoteText"/>
        <w:rPr>
          <w:rFonts w:asciiTheme="majorHAnsi" w:hAnsiTheme="majorHAnsi" w:cstheme="majorHAnsi"/>
        </w:rPr>
      </w:pPr>
      <w:r w:rsidRPr="001D0E18">
        <w:rPr>
          <w:rStyle w:val="FootnoteReference"/>
          <w:rFonts w:asciiTheme="majorHAnsi" w:hAnsiTheme="majorHAnsi" w:cstheme="majorHAnsi"/>
        </w:rPr>
        <w:footnoteRef/>
      </w:r>
      <w:r w:rsidRPr="001D0E18">
        <w:rPr>
          <w:rFonts w:asciiTheme="majorHAnsi" w:hAnsiTheme="majorHAnsi" w:cstheme="majorHAnsi"/>
        </w:rPr>
        <w:t xml:space="preserve"> </w:t>
      </w:r>
      <w:proofErr w:type="spellStart"/>
      <w:r w:rsidRPr="001D0E18">
        <w:rPr>
          <w:rFonts w:asciiTheme="majorHAnsi" w:hAnsiTheme="majorHAnsi" w:cstheme="majorHAnsi"/>
        </w:rPr>
        <w:t>LeBaron</w:t>
      </w:r>
      <w:proofErr w:type="spellEnd"/>
      <w:r w:rsidRPr="001D0E18">
        <w:rPr>
          <w:rFonts w:asciiTheme="majorHAnsi" w:hAnsiTheme="majorHAnsi" w:cstheme="majorHAnsi"/>
        </w:rPr>
        <w:t>, p376.</w:t>
      </w:r>
    </w:p>
  </w:footnote>
  <w:footnote w:id="9">
    <w:p w14:paraId="1909932A" w14:textId="77777777" w:rsidR="00163562" w:rsidRPr="001D0E18" w:rsidRDefault="00163562" w:rsidP="00163562">
      <w:pPr>
        <w:autoSpaceDE w:val="0"/>
        <w:autoSpaceDN w:val="0"/>
        <w:adjustRightInd w:val="0"/>
        <w:spacing w:after="0" w:line="240" w:lineRule="auto"/>
        <w:rPr>
          <w:rFonts w:asciiTheme="majorHAnsi" w:hAnsiTheme="majorHAnsi" w:cstheme="majorHAnsi"/>
          <w:sz w:val="20"/>
          <w:szCs w:val="20"/>
        </w:rPr>
      </w:pPr>
      <w:r w:rsidRPr="001D0E18">
        <w:rPr>
          <w:rStyle w:val="FootnoteReference"/>
          <w:rFonts w:asciiTheme="majorHAnsi" w:hAnsiTheme="majorHAnsi" w:cstheme="majorHAnsi"/>
          <w:sz w:val="20"/>
          <w:szCs w:val="20"/>
        </w:rPr>
        <w:footnoteRef/>
      </w:r>
      <w:r w:rsidRPr="001D0E18">
        <w:rPr>
          <w:rFonts w:asciiTheme="majorHAnsi" w:hAnsiTheme="majorHAnsi" w:cstheme="majorHAnsi"/>
          <w:sz w:val="20"/>
          <w:szCs w:val="20"/>
        </w:rPr>
        <w:t xml:space="preserve"> King, Harvey Briggs. </w:t>
      </w:r>
      <w:r w:rsidRPr="001D0E18">
        <w:rPr>
          <w:rFonts w:asciiTheme="majorHAnsi" w:hAnsiTheme="majorHAnsi" w:cstheme="majorHAnsi"/>
          <w:i/>
          <w:iCs/>
          <w:sz w:val="20"/>
          <w:szCs w:val="20"/>
        </w:rPr>
        <w:t xml:space="preserve">The King Genealogy, and Its Branches, </w:t>
      </w:r>
      <w:proofErr w:type="spellStart"/>
      <w:r w:rsidRPr="001D0E18">
        <w:rPr>
          <w:rFonts w:asciiTheme="majorHAnsi" w:hAnsiTheme="majorHAnsi" w:cstheme="majorHAnsi"/>
          <w:i/>
          <w:iCs/>
          <w:sz w:val="20"/>
          <w:szCs w:val="20"/>
        </w:rPr>
        <w:t>Moultons</w:t>
      </w:r>
      <w:proofErr w:type="spellEnd"/>
      <w:r w:rsidRPr="001D0E18">
        <w:rPr>
          <w:rFonts w:asciiTheme="majorHAnsi" w:hAnsiTheme="majorHAnsi" w:cstheme="majorHAnsi"/>
          <w:i/>
          <w:iCs/>
          <w:sz w:val="20"/>
          <w:szCs w:val="20"/>
        </w:rPr>
        <w:t xml:space="preserve">, </w:t>
      </w:r>
      <w:proofErr w:type="spellStart"/>
      <w:r w:rsidRPr="001D0E18">
        <w:rPr>
          <w:rFonts w:asciiTheme="majorHAnsi" w:hAnsiTheme="majorHAnsi" w:cstheme="majorHAnsi"/>
          <w:i/>
          <w:iCs/>
          <w:sz w:val="20"/>
          <w:szCs w:val="20"/>
        </w:rPr>
        <w:t>Sedgewicks</w:t>
      </w:r>
      <w:proofErr w:type="spellEnd"/>
      <w:r w:rsidRPr="001D0E18">
        <w:rPr>
          <w:rFonts w:asciiTheme="majorHAnsi" w:hAnsiTheme="majorHAnsi" w:cstheme="majorHAnsi"/>
          <w:i/>
          <w:iCs/>
          <w:sz w:val="20"/>
          <w:szCs w:val="20"/>
        </w:rPr>
        <w:t xml:space="preserve"> and </w:t>
      </w:r>
      <w:proofErr w:type="spellStart"/>
      <w:r w:rsidRPr="001D0E18">
        <w:rPr>
          <w:rFonts w:asciiTheme="majorHAnsi" w:hAnsiTheme="majorHAnsi" w:cstheme="majorHAnsi"/>
          <w:i/>
          <w:iCs/>
          <w:sz w:val="20"/>
          <w:szCs w:val="20"/>
        </w:rPr>
        <w:t>Shaws</w:t>
      </w:r>
      <w:proofErr w:type="spellEnd"/>
      <w:r w:rsidRPr="001D0E18">
        <w:rPr>
          <w:rFonts w:asciiTheme="majorHAnsi" w:hAnsiTheme="majorHAnsi" w:cstheme="majorHAnsi"/>
          <w:i/>
          <w:iCs/>
          <w:sz w:val="20"/>
          <w:szCs w:val="20"/>
        </w:rPr>
        <w:t>, and Their Descendants, Bearing Other Names.</w:t>
      </w:r>
      <w:r w:rsidRPr="001D0E18">
        <w:rPr>
          <w:rFonts w:asciiTheme="majorHAnsi" w:hAnsiTheme="majorHAnsi" w:cstheme="majorHAnsi"/>
          <w:sz w:val="20"/>
          <w:szCs w:val="20"/>
        </w:rPr>
        <w:t xml:space="preserve"> Hartford, Conn.: Plimpton mfg. co. print., 1897. p11.</w:t>
      </w:r>
    </w:p>
  </w:footnote>
  <w:footnote w:id="10">
    <w:p w14:paraId="1F5F6331" w14:textId="77777777" w:rsidR="00163562" w:rsidRPr="001D0E18" w:rsidRDefault="00163562" w:rsidP="00163562">
      <w:pPr>
        <w:pStyle w:val="FootnoteText"/>
        <w:rPr>
          <w:rFonts w:asciiTheme="majorHAnsi" w:hAnsiTheme="majorHAnsi" w:cstheme="majorHAnsi"/>
          <w:color w:val="202122"/>
          <w:shd w:val="clear" w:color="auto" w:fill="FFFFFF"/>
        </w:rPr>
      </w:pPr>
      <w:r w:rsidRPr="001D0E18">
        <w:rPr>
          <w:rStyle w:val="FootnoteReference"/>
          <w:rFonts w:asciiTheme="majorHAnsi" w:hAnsiTheme="majorHAnsi" w:cstheme="majorHAnsi"/>
        </w:rPr>
        <w:footnoteRef/>
      </w:r>
      <w:r w:rsidRPr="001D0E18">
        <w:rPr>
          <w:rFonts w:asciiTheme="majorHAnsi" w:hAnsiTheme="majorHAnsi" w:cstheme="majorHAnsi"/>
        </w:rPr>
        <w:t xml:space="preserve"> “</w:t>
      </w:r>
      <w:r w:rsidRPr="001D0E18">
        <w:rPr>
          <w:rFonts w:asciiTheme="majorHAnsi" w:hAnsiTheme="majorHAnsi" w:cstheme="majorHAnsi"/>
          <w:color w:val="202122"/>
          <w:shd w:val="clear" w:color="auto" w:fill="FFFFFF"/>
        </w:rPr>
        <w:t>Puritan migration to New England (1620–1640)," </w:t>
      </w:r>
      <w:r w:rsidRPr="001D0E18">
        <w:rPr>
          <w:rFonts w:asciiTheme="majorHAnsi" w:hAnsiTheme="majorHAnsi" w:cstheme="majorHAnsi"/>
          <w:i/>
          <w:iCs/>
          <w:color w:val="202122"/>
          <w:shd w:val="clear" w:color="auto" w:fill="FFFFFF"/>
        </w:rPr>
        <w:t>Wikipedia, The Free Encyclopedia,</w:t>
      </w:r>
      <w:r w:rsidRPr="001D0E18">
        <w:rPr>
          <w:rFonts w:asciiTheme="majorHAnsi" w:hAnsiTheme="majorHAnsi" w:cstheme="majorHAnsi"/>
          <w:color w:val="202122"/>
          <w:shd w:val="clear" w:color="auto" w:fill="FFFFFF"/>
        </w:rPr>
        <w:t> </w:t>
      </w:r>
    </w:p>
    <w:p w14:paraId="296D0A5F" w14:textId="77777777" w:rsidR="00163562" w:rsidRPr="001D0E18" w:rsidRDefault="00DF59E4" w:rsidP="00163562">
      <w:pPr>
        <w:pStyle w:val="FootnoteText"/>
        <w:rPr>
          <w:rFonts w:asciiTheme="majorHAnsi" w:hAnsiTheme="majorHAnsi" w:cstheme="majorHAnsi"/>
          <w:color w:val="202122"/>
          <w:shd w:val="clear" w:color="auto" w:fill="FFFFFF"/>
        </w:rPr>
      </w:pPr>
      <w:hyperlink r:id="rId7" w:history="1">
        <w:r w:rsidR="00163562" w:rsidRPr="001D0E18">
          <w:rPr>
            <w:rStyle w:val="Hyperlink"/>
            <w:rFonts w:asciiTheme="majorHAnsi" w:hAnsiTheme="majorHAnsi" w:cstheme="majorHAnsi"/>
            <w:shd w:val="clear" w:color="auto" w:fill="FFFFFF"/>
          </w:rPr>
          <w:t>https://en.wikipedia.org/w/index.php?title=Puritan_migration_to_New_England_(1620%E2%80%931640)&amp;oldid=943826046</w:t>
        </w:r>
      </w:hyperlink>
      <w:r w:rsidR="00163562" w:rsidRPr="001D0E18">
        <w:rPr>
          <w:rFonts w:asciiTheme="majorHAnsi" w:hAnsiTheme="majorHAnsi" w:cstheme="majorHAnsi"/>
          <w:color w:val="202122"/>
          <w:shd w:val="clear" w:color="auto" w:fill="FFFFFF"/>
        </w:rPr>
        <w:t> (accessed May 7, 2020). Not to be confused with: “Great Migration (African American)," </w:t>
      </w:r>
      <w:r w:rsidR="00163562" w:rsidRPr="001D0E18">
        <w:rPr>
          <w:rFonts w:asciiTheme="majorHAnsi" w:hAnsiTheme="majorHAnsi" w:cstheme="majorHAnsi"/>
          <w:i/>
          <w:iCs/>
          <w:color w:val="202122"/>
          <w:shd w:val="clear" w:color="auto" w:fill="FFFFFF"/>
        </w:rPr>
        <w:t>Wikipedia, The Free Encyclopedia,</w:t>
      </w:r>
      <w:r w:rsidR="00163562" w:rsidRPr="001D0E18">
        <w:rPr>
          <w:rFonts w:asciiTheme="majorHAnsi" w:hAnsiTheme="majorHAnsi" w:cstheme="majorHAnsi"/>
          <w:color w:val="202122"/>
          <w:shd w:val="clear" w:color="auto" w:fill="FFFFFF"/>
        </w:rPr>
        <w:t> </w:t>
      </w:r>
    </w:p>
    <w:p w14:paraId="5733A17F" w14:textId="77777777" w:rsidR="00163562" w:rsidRPr="001D0E18" w:rsidRDefault="00DF59E4" w:rsidP="00163562">
      <w:pPr>
        <w:pStyle w:val="FootnoteText"/>
        <w:rPr>
          <w:rFonts w:asciiTheme="majorHAnsi" w:hAnsiTheme="majorHAnsi" w:cstheme="majorHAnsi"/>
        </w:rPr>
      </w:pPr>
      <w:hyperlink r:id="rId8" w:history="1">
        <w:r w:rsidR="00163562" w:rsidRPr="001D0E18">
          <w:rPr>
            <w:rStyle w:val="Hyperlink"/>
            <w:rFonts w:asciiTheme="majorHAnsi" w:hAnsiTheme="majorHAnsi" w:cstheme="majorHAnsi"/>
            <w:shd w:val="clear" w:color="auto" w:fill="FFFFFF"/>
          </w:rPr>
          <w:t>https://en.wikipedia.org/w/index.php?title=Great_Migration_(African_American)&amp;oldid=953905055</w:t>
        </w:r>
      </w:hyperlink>
      <w:r w:rsidR="00163562" w:rsidRPr="001D0E18">
        <w:rPr>
          <w:rFonts w:asciiTheme="majorHAnsi" w:hAnsiTheme="majorHAnsi" w:cstheme="majorHAnsi"/>
          <w:color w:val="202122"/>
          <w:shd w:val="clear" w:color="auto" w:fill="FFFFFF"/>
        </w:rPr>
        <w:t> (accessed May 7, 2020).</w:t>
      </w:r>
    </w:p>
  </w:footnote>
  <w:footnote w:id="11">
    <w:p w14:paraId="72C76DCF" w14:textId="77777777" w:rsidR="00163562" w:rsidRPr="001D0E18" w:rsidRDefault="00163562" w:rsidP="00163562">
      <w:pPr>
        <w:autoSpaceDE w:val="0"/>
        <w:autoSpaceDN w:val="0"/>
        <w:adjustRightInd w:val="0"/>
        <w:spacing w:after="0" w:line="240" w:lineRule="auto"/>
        <w:rPr>
          <w:rFonts w:asciiTheme="majorHAnsi" w:hAnsiTheme="majorHAnsi" w:cstheme="majorHAnsi"/>
          <w:sz w:val="20"/>
          <w:szCs w:val="20"/>
        </w:rPr>
      </w:pPr>
      <w:r w:rsidRPr="001D0E18">
        <w:rPr>
          <w:rStyle w:val="FootnoteReference"/>
          <w:rFonts w:asciiTheme="majorHAnsi" w:hAnsiTheme="majorHAnsi" w:cstheme="majorHAnsi"/>
          <w:sz w:val="20"/>
          <w:szCs w:val="20"/>
        </w:rPr>
        <w:footnoteRef/>
      </w:r>
      <w:r w:rsidRPr="001D0E18">
        <w:rPr>
          <w:rFonts w:asciiTheme="majorHAnsi" w:hAnsiTheme="majorHAnsi" w:cstheme="majorHAnsi"/>
          <w:sz w:val="20"/>
          <w:szCs w:val="20"/>
        </w:rPr>
        <w:t xml:space="preserve"> Hingham (Mass.: Town), Thomas Tracy </w:t>
      </w:r>
      <w:proofErr w:type="spellStart"/>
      <w:r w:rsidRPr="001D0E18">
        <w:rPr>
          <w:rFonts w:asciiTheme="majorHAnsi" w:hAnsiTheme="majorHAnsi" w:cstheme="majorHAnsi"/>
          <w:sz w:val="20"/>
          <w:szCs w:val="20"/>
        </w:rPr>
        <w:t>Bouve</w:t>
      </w:r>
      <w:proofErr w:type="spellEnd"/>
      <w:r w:rsidRPr="001D0E18">
        <w:rPr>
          <w:rFonts w:asciiTheme="majorHAnsi" w:hAnsiTheme="majorHAnsi" w:cstheme="majorHAnsi"/>
          <w:sz w:val="20"/>
          <w:szCs w:val="20"/>
        </w:rPr>
        <w:t xml:space="preserve">́, Edward Tracy </w:t>
      </w:r>
      <w:proofErr w:type="spellStart"/>
      <w:r w:rsidRPr="001D0E18">
        <w:rPr>
          <w:rFonts w:asciiTheme="majorHAnsi" w:hAnsiTheme="majorHAnsi" w:cstheme="majorHAnsi"/>
          <w:sz w:val="20"/>
          <w:szCs w:val="20"/>
        </w:rPr>
        <w:t>Bouve</w:t>
      </w:r>
      <w:proofErr w:type="spellEnd"/>
      <w:r w:rsidRPr="001D0E18">
        <w:rPr>
          <w:rFonts w:asciiTheme="majorHAnsi" w:hAnsiTheme="majorHAnsi" w:cstheme="majorHAnsi"/>
          <w:sz w:val="20"/>
          <w:szCs w:val="20"/>
        </w:rPr>
        <w:t xml:space="preserve">́, John Davis Long, Walter Lincoln </w:t>
      </w:r>
      <w:proofErr w:type="spellStart"/>
      <w:r w:rsidRPr="001D0E18">
        <w:rPr>
          <w:rFonts w:asciiTheme="majorHAnsi" w:hAnsiTheme="majorHAnsi" w:cstheme="majorHAnsi"/>
          <w:sz w:val="20"/>
          <w:szCs w:val="20"/>
        </w:rPr>
        <w:t>Bouve</w:t>
      </w:r>
      <w:proofErr w:type="spellEnd"/>
      <w:r w:rsidRPr="001D0E18">
        <w:rPr>
          <w:rFonts w:asciiTheme="majorHAnsi" w:hAnsiTheme="majorHAnsi" w:cstheme="majorHAnsi"/>
          <w:sz w:val="20"/>
          <w:szCs w:val="20"/>
        </w:rPr>
        <w:t>́, Francis Henry Lincoln, George Lincoln</w:t>
      </w:r>
      <w:r w:rsidRPr="001D0E18">
        <w:rPr>
          <w:rFonts w:asciiTheme="majorHAnsi" w:hAnsiTheme="majorHAnsi" w:cstheme="majorHAnsi"/>
          <w:i/>
          <w:iCs/>
          <w:sz w:val="20"/>
          <w:szCs w:val="20"/>
        </w:rPr>
        <w:t>, et al.</w:t>
      </w:r>
      <w:r w:rsidRPr="001D0E18">
        <w:rPr>
          <w:rFonts w:asciiTheme="majorHAnsi" w:hAnsiTheme="majorHAnsi" w:cstheme="majorHAnsi"/>
          <w:sz w:val="20"/>
          <w:szCs w:val="20"/>
        </w:rPr>
        <w:t xml:space="preserve"> </w:t>
      </w:r>
      <w:r w:rsidRPr="001D0E18">
        <w:rPr>
          <w:rFonts w:asciiTheme="majorHAnsi" w:hAnsiTheme="majorHAnsi" w:cstheme="majorHAnsi"/>
          <w:i/>
          <w:iCs/>
          <w:sz w:val="20"/>
          <w:szCs w:val="20"/>
        </w:rPr>
        <w:t>History of the Town of Hingham, Massachusetts.</w:t>
      </w:r>
      <w:r w:rsidRPr="001D0E18">
        <w:rPr>
          <w:rFonts w:asciiTheme="majorHAnsi" w:hAnsiTheme="majorHAnsi" w:cstheme="majorHAnsi"/>
          <w:sz w:val="20"/>
          <w:szCs w:val="20"/>
        </w:rPr>
        <w:t xml:space="preserve"> 3 vols. Hingham: Pub. by the town, 1893. Vol II p 407.</w:t>
      </w:r>
    </w:p>
  </w:footnote>
  <w:footnote w:id="12">
    <w:p w14:paraId="67CC94E2" w14:textId="77777777" w:rsidR="00163562" w:rsidRPr="001D0E18" w:rsidRDefault="00163562" w:rsidP="00163562">
      <w:pPr>
        <w:pStyle w:val="FootnoteText"/>
        <w:rPr>
          <w:rFonts w:asciiTheme="majorHAnsi" w:hAnsiTheme="majorHAnsi" w:cstheme="majorHAnsi"/>
        </w:rPr>
      </w:pPr>
      <w:r w:rsidRPr="001D0E18">
        <w:rPr>
          <w:rStyle w:val="FootnoteReference"/>
          <w:rFonts w:asciiTheme="majorHAnsi" w:hAnsiTheme="majorHAnsi" w:cstheme="majorHAnsi"/>
        </w:rPr>
        <w:footnoteRef/>
      </w:r>
      <w:r w:rsidRPr="001D0E18">
        <w:rPr>
          <w:rFonts w:asciiTheme="majorHAnsi" w:hAnsiTheme="majorHAnsi" w:cstheme="majorHAnsi"/>
        </w:rPr>
        <w:t xml:space="preserve"> “Hingham nurse’s work as general contractor recognized on ‘This Old House’ - News -,” The Patriot Ledger, Quincy, MA. 23 Aug 2011. </w:t>
      </w:r>
    </w:p>
  </w:footnote>
  <w:footnote w:id="13">
    <w:p w14:paraId="2E789784" w14:textId="77777777" w:rsidR="00163562" w:rsidRPr="001D0E18" w:rsidRDefault="00163562" w:rsidP="00163562">
      <w:pPr>
        <w:autoSpaceDE w:val="0"/>
        <w:autoSpaceDN w:val="0"/>
        <w:adjustRightInd w:val="0"/>
        <w:spacing w:after="0" w:line="240" w:lineRule="auto"/>
        <w:rPr>
          <w:rFonts w:asciiTheme="majorHAnsi" w:hAnsiTheme="majorHAnsi" w:cstheme="majorHAnsi"/>
          <w:sz w:val="20"/>
          <w:szCs w:val="20"/>
        </w:rPr>
      </w:pPr>
      <w:r w:rsidRPr="001D0E18">
        <w:rPr>
          <w:rStyle w:val="FootnoteReference"/>
          <w:rFonts w:asciiTheme="majorHAnsi" w:hAnsiTheme="majorHAnsi" w:cstheme="majorHAnsi"/>
          <w:sz w:val="20"/>
          <w:szCs w:val="20"/>
        </w:rPr>
        <w:footnoteRef/>
      </w:r>
      <w:r w:rsidRPr="001D0E18">
        <w:rPr>
          <w:rFonts w:asciiTheme="majorHAnsi" w:hAnsiTheme="majorHAnsi" w:cstheme="majorHAnsi"/>
          <w:sz w:val="20"/>
          <w:szCs w:val="20"/>
        </w:rPr>
        <w:t xml:space="preserve"> The English Puritan Plymouth Colony found open agricultural lands that had been cleared by Native Americans but depopulated of the Natives because of the epidemics brought to North America by the Europeans.  </w:t>
      </w:r>
      <w:proofErr w:type="spellStart"/>
      <w:r w:rsidRPr="001D0E18">
        <w:rPr>
          <w:rFonts w:asciiTheme="majorHAnsi" w:hAnsiTheme="majorHAnsi" w:cstheme="majorHAnsi"/>
          <w:sz w:val="20"/>
          <w:szCs w:val="20"/>
        </w:rPr>
        <w:t>Conforti</w:t>
      </w:r>
      <w:proofErr w:type="spellEnd"/>
      <w:r w:rsidRPr="001D0E18">
        <w:rPr>
          <w:rFonts w:asciiTheme="majorHAnsi" w:hAnsiTheme="majorHAnsi" w:cstheme="majorHAnsi"/>
          <w:sz w:val="20"/>
          <w:szCs w:val="20"/>
        </w:rPr>
        <w:t xml:space="preserve">, J.A. </w:t>
      </w:r>
      <w:r w:rsidRPr="001D0E18">
        <w:rPr>
          <w:rFonts w:asciiTheme="majorHAnsi" w:hAnsiTheme="majorHAnsi" w:cstheme="majorHAnsi"/>
          <w:i/>
          <w:iCs/>
          <w:sz w:val="20"/>
          <w:szCs w:val="20"/>
        </w:rPr>
        <w:t>Imagining New England: Explorations of Regional Identity from the Pilgrims to the Mid-Twentieth Century.</w:t>
      </w:r>
      <w:r w:rsidRPr="001D0E18">
        <w:rPr>
          <w:rFonts w:asciiTheme="majorHAnsi" w:hAnsiTheme="majorHAnsi" w:cstheme="majorHAnsi"/>
          <w:sz w:val="20"/>
          <w:szCs w:val="20"/>
        </w:rPr>
        <w:t xml:space="preserve"> University of North Carolina Press, 2003. https://books.google.com/books?id=aUzqCQAAQBAJ.</w:t>
      </w:r>
    </w:p>
  </w:footnote>
  <w:footnote w:id="14">
    <w:p w14:paraId="63596EA1" w14:textId="77777777" w:rsidR="00163562" w:rsidRPr="00E54CA4" w:rsidRDefault="00163562" w:rsidP="00163562">
      <w:pPr>
        <w:pStyle w:val="Default"/>
        <w:rPr>
          <w:rFonts w:ascii="Arial" w:hAnsi="Arial" w:cs="Arial"/>
          <w:sz w:val="23"/>
          <w:szCs w:val="23"/>
        </w:rPr>
      </w:pPr>
      <w:r w:rsidRPr="001D0E18">
        <w:rPr>
          <w:rStyle w:val="FootnoteReference"/>
          <w:rFonts w:asciiTheme="majorHAnsi" w:hAnsiTheme="majorHAnsi" w:cstheme="majorHAnsi"/>
          <w:sz w:val="20"/>
          <w:szCs w:val="20"/>
        </w:rPr>
        <w:footnoteRef/>
      </w:r>
      <w:r w:rsidRPr="001D0E18">
        <w:rPr>
          <w:rFonts w:asciiTheme="majorHAnsi" w:hAnsiTheme="majorHAnsi" w:cstheme="majorHAnsi"/>
          <w:sz w:val="20"/>
          <w:szCs w:val="20"/>
        </w:rPr>
        <w:t xml:space="preserve"> The Last Will and Testament of John King. filed January 2, 1891 set for probate January 28, 1891 at 10:00 AM. John S friendly, Clerk of District Court, Boone County Iowa.</w:t>
      </w:r>
    </w:p>
  </w:footnote>
  <w:footnote w:id="15">
    <w:p w14:paraId="78F601DB" w14:textId="77777777" w:rsidR="00163562" w:rsidRPr="005D50EF" w:rsidRDefault="00163562" w:rsidP="00163562">
      <w:pPr>
        <w:autoSpaceDE w:val="0"/>
        <w:autoSpaceDN w:val="0"/>
        <w:adjustRightInd w:val="0"/>
        <w:spacing w:after="0" w:line="240" w:lineRule="auto"/>
        <w:rPr>
          <w:rFonts w:asciiTheme="majorHAnsi" w:hAnsiTheme="majorHAnsi" w:cstheme="majorHAnsi"/>
          <w:sz w:val="20"/>
          <w:szCs w:val="20"/>
        </w:rPr>
      </w:pPr>
      <w:r w:rsidRPr="005D50EF">
        <w:rPr>
          <w:rStyle w:val="FootnoteReference"/>
          <w:rFonts w:cstheme="majorHAnsi"/>
          <w:sz w:val="20"/>
          <w:szCs w:val="20"/>
        </w:rPr>
        <w:footnoteRef/>
      </w:r>
      <w:r w:rsidRPr="005D50EF">
        <w:rPr>
          <w:rFonts w:asciiTheme="majorHAnsi" w:hAnsiTheme="majorHAnsi" w:cstheme="majorHAnsi"/>
          <w:sz w:val="20"/>
          <w:szCs w:val="20"/>
        </w:rPr>
        <w:t xml:space="preserve"> De Wolfe Howe, M.A. </w:t>
      </w:r>
      <w:r w:rsidRPr="005D50EF">
        <w:rPr>
          <w:rFonts w:asciiTheme="majorHAnsi" w:hAnsiTheme="majorHAnsi" w:cstheme="majorHAnsi"/>
          <w:i/>
          <w:iCs/>
          <w:sz w:val="20"/>
          <w:szCs w:val="20"/>
        </w:rPr>
        <w:t>The Humane Society of the Commonwealth of Massachusetts: An Historical Review, 1785-1916.</w:t>
      </w:r>
      <w:r w:rsidRPr="005D50EF">
        <w:rPr>
          <w:rFonts w:asciiTheme="majorHAnsi" w:hAnsiTheme="majorHAnsi" w:cstheme="majorHAnsi"/>
          <w:sz w:val="20"/>
          <w:szCs w:val="20"/>
        </w:rPr>
        <w:t xml:space="preserve"> Humane Society at the Riverside Press Cambridge, 1918. p295. </w:t>
      </w:r>
      <w:hyperlink r:id="rId9" w:history="1">
        <w:r w:rsidRPr="005D50EF">
          <w:rPr>
            <w:rStyle w:val="Hyperlink"/>
            <w:rFonts w:asciiTheme="majorHAnsi" w:hAnsiTheme="majorHAnsi" w:cstheme="majorHAnsi"/>
            <w:sz w:val="20"/>
            <w:szCs w:val="20"/>
          </w:rPr>
          <w:t>https://books.google.com/books?id=_AQ1AQAAMAAJ</w:t>
        </w:r>
      </w:hyperlink>
      <w:r w:rsidRPr="005D50EF">
        <w:rPr>
          <w:rFonts w:asciiTheme="majorHAnsi" w:hAnsiTheme="majorHAnsi" w:cstheme="majorHAnsi"/>
          <w:sz w:val="20"/>
          <w:szCs w:val="20"/>
        </w:rPr>
        <w:t xml:space="preserve"> </w:t>
      </w:r>
    </w:p>
  </w:footnote>
  <w:footnote w:id="16">
    <w:p w14:paraId="10B239EE" w14:textId="77777777" w:rsidR="00163562" w:rsidRPr="005D50EF" w:rsidRDefault="00163562" w:rsidP="00163562">
      <w:pPr>
        <w:pStyle w:val="FootnoteText"/>
        <w:rPr>
          <w:rFonts w:asciiTheme="majorHAnsi" w:hAnsiTheme="majorHAnsi" w:cstheme="majorHAnsi"/>
        </w:rPr>
      </w:pPr>
      <w:r w:rsidRPr="005D50EF">
        <w:rPr>
          <w:rStyle w:val="FootnoteReference"/>
          <w:rFonts w:cstheme="majorHAnsi"/>
        </w:rPr>
        <w:footnoteRef/>
      </w:r>
      <w:r w:rsidRPr="005D50EF">
        <w:rPr>
          <w:rFonts w:asciiTheme="majorHAnsi" w:hAnsiTheme="majorHAnsi" w:cstheme="majorHAnsi"/>
        </w:rPr>
        <w:t xml:space="preserve"> In the Harvard Class of 1801 was Timothy Fuller, the father of transcendentalist Margaret and Unitarian Minister Arthur Fuller. Margaret visited Geneva in 1843 and Arthur participated in the 1844 dedication of the Geneva Unitarian Church built by Augustus Conant. Both Arthur and Augustus were Civil War Chaplains, and </w:t>
      </w:r>
      <w:r>
        <w:rPr>
          <w:rFonts w:asciiTheme="majorHAnsi" w:hAnsiTheme="majorHAnsi" w:cstheme="majorHAnsi"/>
        </w:rPr>
        <w:t>both</w:t>
      </w:r>
      <w:r w:rsidRPr="005D50EF">
        <w:rPr>
          <w:rFonts w:asciiTheme="majorHAnsi" w:hAnsiTheme="majorHAnsi" w:cstheme="majorHAnsi"/>
        </w:rPr>
        <w:t xml:space="preserve"> died</w:t>
      </w:r>
      <w:r>
        <w:rPr>
          <w:rFonts w:asciiTheme="majorHAnsi" w:hAnsiTheme="majorHAnsi" w:cstheme="majorHAnsi"/>
        </w:rPr>
        <w:t xml:space="preserve"> early in the War</w:t>
      </w:r>
      <w:r w:rsidRPr="005D50EF">
        <w:rPr>
          <w:rFonts w:asciiTheme="majorHAnsi" w:hAnsiTheme="majorHAnsi" w:cstheme="majorHAnsi"/>
        </w:rPr>
        <w:t xml:space="preserve"> from the effects of battlefield exposure.</w:t>
      </w:r>
      <w:r>
        <w:rPr>
          <w:rFonts w:asciiTheme="majorHAnsi" w:hAnsiTheme="majorHAnsi" w:cstheme="majorHAnsi"/>
        </w:rPr>
        <w:t xml:space="preserve"> </w:t>
      </w:r>
    </w:p>
  </w:footnote>
  <w:footnote w:id="17">
    <w:p w14:paraId="20650D3F" w14:textId="77777777" w:rsidR="00163562" w:rsidRPr="005D50EF" w:rsidRDefault="00163562" w:rsidP="00163562">
      <w:pPr>
        <w:pStyle w:val="Heading2"/>
        <w:shd w:val="clear" w:color="auto" w:fill="FFFEFB"/>
        <w:spacing w:before="0" w:line="240" w:lineRule="auto"/>
        <w:textAlignment w:val="baseline"/>
        <w:rPr>
          <w:rFonts w:cstheme="majorHAnsi"/>
          <w:color w:val="000000" w:themeColor="text1"/>
          <w:sz w:val="20"/>
          <w:szCs w:val="20"/>
        </w:rPr>
      </w:pPr>
      <w:r w:rsidRPr="005D50EF">
        <w:rPr>
          <w:rStyle w:val="FootnoteReference"/>
          <w:rFonts w:cstheme="majorHAnsi"/>
          <w:color w:val="000000" w:themeColor="text1"/>
          <w:sz w:val="20"/>
          <w:szCs w:val="20"/>
        </w:rPr>
        <w:footnoteRef/>
      </w:r>
      <w:r w:rsidRPr="005D50EF">
        <w:rPr>
          <w:rFonts w:cstheme="majorHAnsi"/>
          <w:color w:val="000000" w:themeColor="text1"/>
          <w:sz w:val="20"/>
          <w:szCs w:val="20"/>
        </w:rPr>
        <w:t xml:space="preserve"> </w:t>
      </w:r>
      <w:r w:rsidRPr="005D50EF">
        <w:rPr>
          <w:rFonts w:cstheme="majorHAnsi"/>
          <w:color w:val="000000" w:themeColor="text1"/>
          <w:sz w:val="20"/>
          <w:szCs w:val="20"/>
          <w:shd w:val="clear" w:color="auto" w:fill="FFFEFB"/>
        </w:rPr>
        <w:t xml:space="preserve">Harvard University. </w:t>
      </w:r>
      <w:proofErr w:type="spellStart"/>
      <w:r w:rsidRPr="005D50EF">
        <w:rPr>
          <w:rFonts w:cstheme="majorHAnsi"/>
          <w:i/>
          <w:iCs/>
          <w:color w:val="000000" w:themeColor="text1"/>
          <w:sz w:val="20"/>
          <w:szCs w:val="20"/>
          <w:shd w:val="clear" w:color="auto" w:fill="FFFEFB"/>
        </w:rPr>
        <w:t>Porcellian</w:t>
      </w:r>
      <w:proofErr w:type="spellEnd"/>
      <w:r w:rsidRPr="005D50EF">
        <w:rPr>
          <w:rFonts w:cstheme="majorHAnsi"/>
          <w:i/>
          <w:iCs/>
          <w:color w:val="000000" w:themeColor="text1"/>
          <w:sz w:val="20"/>
          <w:szCs w:val="20"/>
          <w:shd w:val="clear" w:color="auto" w:fill="FFFEFB"/>
        </w:rPr>
        <w:t xml:space="preserve"> club.</w:t>
      </w:r>
      <w:r w:rsidRPr="005D50EF">
        <w:rPr>
          <w:rFonts w:cstheme="majorHAnsi"/>
          <w:color w:val="000000" w:themeColor="text1"/>
          <w:sz w:val="20"/>
          <w:szCs w:val="20"/>
          <w:shd w:val="clear" w:color="auto" w:fill="FFFEFB"/>
        </w:rPr>
        <w:t xml:space="preserve"> [from old catalog]. </w:t>
      </w:r>
      <w:r w:rsidRPr="005D50EF">
        <w:rPr>
          <w:rFonts w:cstheme="majorHAnsi"/>
          <w:i/>
          <w:iCs/>
          <w:color w:val="000000" w:themeColor="text1"/>
          <w:sz w:val="20"/>
          <w:szCs w:val="20"/>
          <w:bdr w:val="none" w:sz="0" w:space="0" w:color="auto" w:frame="1"/>
          <w:shd w:val="clear" w:color="auto" w:fill="FFFEFB"/>
        </w:rPr>
        <w:t xml:space="preserve">Catalogue of the Honorary and Immediate Members and of the Library of the </w:t>
      </w:r>
      <w:proofErr w:type="spellStart"/>
      <w:r w:rsidRPr="005D50EF">
        <w:rPr>
          <w:rFonts w:cstheme="majorHAnsi"/>
          <w:i/>
          <w:iCs/>
          <w:color w:val="000000" w:themeColor="text1"/>
          <w:sz w:val="20"/>
          <w:szCs w:val="20"/>
          <w:bdr w:val="none" w:sz="0" w:space="0" w:color="auto" w:frame="1"/>
          <w:shd w:val="clear" w:color="auto" w:fill="FFFEFB"/>
        </w:rPr>
        <w:t>Porcellian</w:t>
      </w:r>
      <w:proofErr w:type="spellEnd"/>
      <w:r w:rsidRPr="005D50EF">
        <w:rPr>
          <w:rFonts w:cstheme="majorHAnsi"/>
          <w:i/>
          <w:iCs/>
          <w:color w:val="000000" w:themeColor="text1"/>
          <w:sz w:val="20"/>
          <w:szCs w:val="20"/>
          <w:bdr w:val="none" w:sz="0" w:space="0" w:color="auto" w:frame="1"/>
          <w:shd w:val="clear" w:color="auto" w:fill="FFFEFB"/>
        </w:rPr>
        <w:t xml:space="preserve"> Club of Harvard University.</w:t>
      </w:r>
      <w:r w:rsidRPr="005D50EF">
        <w:rPr>
          <w:rFonts w:cstheme="majorHAnsi"/>
          <w:i/>
          <w:iCs/>
          <w:color w:val="000000" w:themeColor="text1"/>
          <w:sz w:val="20"/>
          <w:szCs w:val="20"/>
          <w:shd w:val="clear" w:color="auto" w:fill="FFFEFB"/>
        </w:rPr>
        <w:t> </w:t>
      </w:r>
      <w:r w:rsidRPr="005D50EF">
        <w:rPr>
          <w:rFonts w:cstheme="majorHAnsi"/>
          <w:color w:val="000000" w:themeColor="text1"/>
          <w:sz w:val="20"/>
          <w:szCs w:val="20"/>
          <w:shd w:val="clear" w:color="auto" w:fill="FFFEFB"/>
        </w:rPr>
        <w:t>Cambridge: Metcalf and company, printers, 1854. p15.</w:t>
      </w:r>
    </w:p>
  </w:footnote>
  <w:footnote w:id="18">
    <w:p w14:paraId="5FB9DCB0" w14:textId="77777777" w:rsidR="00163562" w:rsidRPr="005D50EF" w:rsidRDefault="00163562" w:rsidP="00163562">
      <w:pPr>
        <w:autoSpaceDE w:val="0"/>
        <w:autoSpaceDN w:val="0"/>
        <w:adjustRightInd w:val="0"/>
        <w:spacing w:after="0" w:line="240" w:lineRule="auto"/>
        <w:rPr>
          <w:rFonts w:asciiTheme="majorHAnsi" w:hAnsiTheme="majorHAnsi" w:cstheme="majorHAnsi"/>
          <w:sz w:val="20"/>
          <w:szCs w:val="20"/>
        </w:rPr>
      </w:pPr>
      <w:r w:rsidRPr="005D50EF">
        <w:rPr>
          <w:rStyle w:val="FootnoteReference"/>
          <w:rFonts w:cstheme="majorHAnsi"/>
          <w:sz w:val="20"/>
          <w:szCs w:val="20"/>
        </w:rPr>
        <w:footnoteRef/>
      </w:r>
      <w:r w:rsidRPr="005D50EF">
        <w:rPr>
          <w:rFonts w:asciiTheme="majorHAnsi" w:hAnsiTheme="majorHAnsi" w:cstheme="majorHAnsi"/>
          <w:sz w:val="20"/>
          <w:szCs w:val="20"/>
        </w:rPr>
        <w:t xml:space="preserve"> Davis, William T. </w:t>
      </w:r>
      <w:r w:rsidRPr="005D50EF">
        <w:rPr>
          <w:rFonts w:asciiTheme="majorHAnsi" w:hAnsiTheme="majorHAnsi" w:cstheme="majorHAnsi"/>
          <w:i/>
          <w:iCs/>
          <w:sz w:val="20"/>
          <w:szCs w:val="20"/>
        </w:rPr>
        <w:t>Bench and Bar of the Commonwealth of Massachusetts.</w:t>
      </w:r>
      <w:r w:rsidRPr="005D50EF">
        <w:rPr>
          <w:rFonts w:asciiTheme="majorHAnsi" w:hAnsiTheme="majorHAnsi" w:cstheme="majorHAnsi"/>
          <w:sz w:val="20"/>
          <w:szCs w:val="20"/>
        </w:rPr>
        <w:t xml:space="preserve"> 2 vols. Boston: The Boston history company, 1895. Vol 2, p197,198.</w:t>
      </w:r>
    </w:p>
  </w:footnote>
  <w:footnote w:id="19">
    <w:p w14:paraId="78542B9E" w14:textId="77777777" w:rsidR="00163562" w:rsidRPr="00102D25" w:rsidRDefault="00163562" w:rsidP="00163562">
      <w:pPr>
        <w:pStyle w:val="FootnoteText"/>
        <w:rPr>
          <w:rFonts w:asciiTheme="majorHAnsi" w:hAnsiTheme="majorHAnsi" w:cstheme="majorHAnsi"/>
        </w:rPr>
      </w:pPr>
      <w:r w:rsidRPr="005D50EF">
        <w:rPr>
          <w:rStyle w:val="FootnoteReference"/>
          <w:rFonts w:cstheme="majorHAnsi"/>
        </w:rPr>
        <w:footnoteRef/>
      </w:r>
      <w:r w:rsidRPr="005D50EF">
        <w:rPr>
          <w:rFonts w:asciiTheme="majorHAnsi" w:hAnsiTheme="majorHAnsi" w:cstheme="majorHAnsi"/>
        </w:rPr>
        <w:t xml:space="preserve"> Thoreau, H.D., and R.N. Hudspeth. </w:t>
      </w:r>
      <w:r w:rsidRPr="005D50EF">
        <w:rPr>
          <w:rFonts w:asciiTheme="majorHAnsi" w:hAnsiTheme="majorHAnsi" w:cstheme="majorHAnsi"/>
          <w:i/>
          <w:iCs/>
        </w:rPr>
        <w:t>The Correspondence of Henry D. Thoreau: Volume 1: 1834 - 1848.</w:t>
      </w:r>
      <w:r w:rsidRPr="005D50EF">
        <w:rPr>
          <w:rFonts w:asciiTheme="majorHAnsi" w:hAnsiTheme="majorHAnsi" w:cstheme="majorHAnsi"/>
        </w:rPr>
        <w:t xml:space="preserve"> Princeton University Press, 2014. p4.</w:t>
      </w:r>
      <w:r>
        <w:rPr>
          <w:rFonts w:asciiTheme="majorHAnsi" w:hAnsiTheme="majorHAnsi" w:cstheme="majorHAnsi"/>
        </w:rPr>
        <w:t xml:space="preserve"> In 1841 Margaret Fuller, as the editor of the </w:t>
      </w:r>
      <w:r w:rsidRPr="0032127B">
        <w:rPr>
          <w:rFonts w:asciiTheme="majorHAnsi" w:hAnsiTheme="majorHAnsi" w:cstheme="majorHAnsi"/>
          <w:i/>
          <w:iCs/>
        </w:rPr>
        <w:t>Dial</w:t>
      </w:r>
      <w:r>
        <w:rPr>
          <w:rFonts w:asciiTheme="majorHAnsi" w:hAnsiTheme="majorHAnsi" w:cstheme="majorHAnsi"/>
        </w:rPr>
        <w:t xml:space="preserve"> famously rejected a Thoreau poem “The Mountain.”. But she did so through a lengthy letter of constructive criticism which can be accessed here: </w:t>
      </w:r>
      <w:hyperlink r:id="rId10" w:history="1">
        <w:r w:rsidRPr="00641E31">
          <w:rPr>
            <w:rStyle w:val="Hyperlink"/>
          </w:rPr>
          <w:t>https://www.brainpickings.org/2015/06/30/margaret-fuller-thoreau-letter/</w:t>
        </w:r>
      </w:hyperlink>
    </w:p>
  </w:footnote>
  <w:footnote w:id="20">
    <w:p w14:paraId="501A4AE0" w14:textId="77777777" w:rsidR="00163562" w:rsidRPr="006163B7" w:rsidRDefault="00163562" w:rsidP="00163562">
      <w:pPr>
        <w:autoSpaceDE w:val="0"/>
        <w:autoSpaceDN w:val="0"/>
        <w:adjustRightInd w:val="0"/>
        <w:spacing w:after="0" w:line="240" w:lineRule="auto"/>
        <w:rPr>
          <w:rFonts w:asciiTheme="majorHAnsi" w:hAnsiTheme="majorHAnsi" w:cstheme="majorHAnsi"/>
          <w:sz w:val="18"/>
          <w:szCs w:val="18"/>
        </w:rPr>
      </w:pPr>
      <w:r w:rsidRPr="006163B7">
        <w:rPr>
          <w:rStyle w:val="FootnoteReference"/>
          <w:rFonts w:asciiTheme="majorHAnsi" w:hAnsiTheme="majorHAnsi" w:cstheme="majorHAnsi"/>
          <w:sz w:val="18"/>
          <w:szCs w:val="18"/>
        </w:rPr>
        <w:footnoteRef/>
      </w:r>
      <w:r w:rsidRPr="006163B7">
        <w:rPr>
          <w:rFonts w:asciiTheme="majorHAnsi" w:hAnsiTheme="majorHAnsi" w:cstheme="majorHAnsi"/>
          <w:sz w:val="18"/>
          <w:szCs w:val="18"/>
        </w:rPr>
        <w:t xml:space="preserve"> Van Rensselaer, J.K., and F.F. Van de Water. </w:t>
      </w:r>
      <w:r w:rsidRPr="006163B7">
        <w:rPr>
          <w:rFonts w:asciiTheme="majorHAnsi" w:hAnsiTheme="majorHAnsi" w:cstheme="majorHAnsi"/>
          <w:i/>
          <w:iCs/>
          <w:sz w:val="18"/>
          <w:szCs w:val="18"/>
        </w:rPr>
        <w:t>The Social Ladder.</w:t>
      </w:r>
      <w:r w:rsidRPr="006163B7">
        <w:rPr>
          <w:rFonts w:asciiTheme="majorHAnsi" w:hAnsiTheme="majorHAnsi" w:cstheme="majorHAnsi"/>
          <w:sz w:val="18"/>
          <w:szCs w:val="18"/>
        </w:rPr>
        <w:t xml:space="preserve"> H. Holt, 1924. p178-183. </w:t>
      </w:r>
      <w:hyperlink r:id="rId11" w:history="1">
        <w:r w:rsidRPr="006163B7">
          <w:rPr>
            <w:rStyle w:val="Hyperlink"/>
            <w:rFonts w:asciiTheme="majorHAnsi" w:hAnsiTheme="majorHAnsi" w:cstheme="majorHAnsi"/>
            <w:sz w:val="18"/>
            <w:szCs w:val="18"/>
          </w:rPr>
          <w:t>https://books.google.com/books?id=cZgsAAAAMAAJ</w:t>
        </w:r>
      </w:hyperlink>
      <w:r w:rsidRPr="006163B7">
        <w:rPr>
          <w:rFonts w:asciiTheme="majorHAnsi" w:hAnsiTheme="majorHAnsi" w:cstheme="majorHAnsi"/>
          <w:sz w:val="18"/>
          <w:szCs w:val="18"/>
        </w:rPr>
        <w:t xml:space="preserve"> </w:t>
      </w:r>
    </w:p>
  </w:footnote>
  <w:footnote w:id="21">
    <w:p w14:paraId="1BB76498" w14:textId="77777777" w:rsidR="00163562" w:rsidRPr="006163B7" w:rsidRDefault="00163562" w:rsidP="00163562">
      <w:pPr>
        <w:pStyle w:val="FootnoteText"/>
        <w:rPr>
          <w:rStyle w:val="Hyperlink"/>
          <w:rFonts w:asciiTheme="majorHAnsi" w:hAnsiTheme="majorHAnsi" w:cstheme="majorHAnsi"/>
          <w:sz w:val="18"/>
          <w:szCs w:val="18"/>
        </w:rPr>
      </w:pPr>
      <w:r w:rsidRPr="006163B7">
        <w:rPr>
          <w:rStyle w:val="FootnoteReference"/>
          <w:rFonts w:asciiTheme="majorHAnsi" w:hAnsiTheme="majorHAnsi" w:cstheme="majorHAnsi"/>
          <w:sz w:val="18"/>
          <w:szCs w:val="18"/>
        </w:rPr>
        <w:footnoteRef/>
      </w:r>
      <w:r w:rsidRPr="006163B7">
        <w:rPr>
          <w:rFonts w:asciiTheme="majorHAnsi" w:hAnsiTheme="majorHAnsi" w:cstheme="majorHAnsi"/>
          <w:sz w:val="18"/>
          <w:szCs w:val="18"/>
        </w:rPr>
        <w:t xml:space="preserve"> </w:t>
      </w:r>
      <w:r w:rsidRPr="006163B7">
        <w:rPr>
          <w:rFonts w:asciiTheme="majorHAnsi" w:hAnsiTheme="majorHAnsi" w:cstheme="majorHAnsi"/>
          <w:color w:val="212529"/>
          <w:sz w:val="18"/>
          <w:szCs w:val="18"/>
          <w:shd w:val="clear" w:color="auto" w:fill="FFFFFF"/>
        </w:rPr>
        <w:t>KING, JAMES GORE, </w:t>
      </w:r>
      <w:r w:rsidRPr="006163B7">
        <w:rPr>
          <w:rFonts w:asciiTheme="majorHAnsi" w:hAnsiTheme="majorHAnsi" w:cstheme="majorHAnsi"/>
          <w:sz w:val="18"/>
          <w:szCs w:val="18"/>
        </w:rPr>
        <w:t>(son of Rufus King and brother of John Alsop King)</w:t>
      </w:r>
      <w:r w:rsidRPr="006163B7">
        <w:rPr>
          <w:rFonts w:asciiTheme="majorHAnsi" w:hAnsiTheme="majorHAnsi" w:cstheme="majorHAnsi"/>
          <w:color w:val="212529"/>
          <w:sz w:val="18"/>
          <w:szCs w:val="18"/>
          <w:shd w:val="clear" w:color="auto" w:fill="FFFFFF"/>
        </w:rPr>
        <w:t>, </w:t>
      </w:r>
      <w:r w:rsidRPr="006163B7">
        <w:rPr>
          <w:rFonts w:asciiTheme="majorHAnsi" w:hAnsiTheme="majorHAnsi" w:cstheme="majorHAnsi"/>
          <w:sz w:val="18"/>
          <w:szCs w:val="18"/>
        </w:rPr>
        <w:t xml:space="preserve">a Representative from New Jersey; born in New York City May 8, 1791; pursued classical studies in England and France; returned to United States; was graduated from Harvard University in 1810; studied law at the Litchfield Law School; served in the War of 1812 as assistant adjutant general of New York Militia; engaged in mercantile pursuits in New York City in 1815 and in banking in Liverpool, England, in 1818; returned to New York City in 1824 and engaged in banking, with residence in Weehawken, N.J.; president of the Erie Railroad in 1835; elected as a Whig to the Thirty-first Congress (March 4, 1849-March 3, 1851); declined to be a candidate for renomination in 1850; resumed the banking business; died at his country place, ``Highwood,'' near Weehawken, N.J., October 3, 1853; interment in the churchyard of Grace Church, Jamaica, N.Y. </w:t>
      </w:r>
      <w:hyperlink r:id="rId12" w:history="1">
        <w:r w:rsidRPr="006163B7">
          <w:rPr>
            <w:rStyle w:val="Hyperlink"/>
            <w:rFonts w:asciiTheme="majorHAnsi" w:hAnsiTheme="majorHAnsi" w:cstheme="majorHAnsi"/>
            <w:sz w:val="18"/>
            <w:szCs w:val="18"/>
          </w:rPr>
          <w:t>https://bioguideretro.congress.gov/Home/MemberDetails?memIndex=K000203</w:t>
        </w:r>
      </w:hyperlink>
    </w:p>
    <w:p w14:paraId="659AE04D" w14:textId="77777777" w:rsidR="00163562" w:rsidRPr="006163B7" w:rsidRDefault="00163562" w:rsidP="00163562">
      <w:pPr>
        <w:pStyle w:val="FootnoteText"/>
        <w:rPr>
          <w:rFonts w:asciiTheme="majorHAnsi" w:hAnsiTheme="majorHAnsi" w:cstheme="majorHAnsi"/>
          <w:sz w:val="18"/>
          <w:szCs w:val="18"/>
        </w:rPr>
      </w:pPr>
      <w:r w:rsidRPr="006163B7">
        <w:rPr>
          <w:rStyle w:val="Hyperlink"/>
          <w:rFonts w:asciiTheme="majorHAnsi" w:hAnsiTheme="majorHAnsi" w:cstheme="majorHAnsi"/>
          <w:sz w:val="18"/>
          <w:szCs w:val="18"/>
        </w:rPr>
        <w:t xml:space="preserve">John Gore King (’39) was a member of the Alpha Delta Phi fraternity. </w:t>
      </w:r>
      <w:r w:rsidRPr="006163B7">
        <w:rPr>
          <w:rStyle w:val="Hyperlink"/>
          <w:rFonts w:asciiTheme="majorHAnsi" w:hAnsiTheme="majorHAnsi" w:cstheme="majorHAnsi"/>
          <w:i/>
          <w:iCs/>
          <w:sz w:val="18"/>
          <w:szCs w:val="18"/>
        </w:rPr>
        <w:t>The Alpha Delta Phi 1832-1882</w:t>
      </w:r>
      <w:r w:rsidRPr="006163B7">
        <w:rPr>
          <w:rStyle w:val="Hyperlink"/>
          <w:rFonts w:asciiTheme="majorHAnsi" w:hAnsiTheme="majorHAnsi" w:cstheme="majorHAnsi"/>
          <w:sz w:val="18"/>
          <w:szCs w:val="18"/>
        </w:rPr>
        <w:t xml:space="preserve">. The Fraternity, [ND]. </w:t>
      </w:r>
      <w:proofErr w:type="spellStart"/>
      <w:r w:rsidRPr="006163B7">
        <w:rPr>
          <w:rStyle w:val="Hyperlink"/>
          <w:rFonts w:asciiTheme="majorHAnsi" w:hAnsiTheme="majorHAnsi" w:cstheme="majorHAnsi"/>
          <w:sz w:val="18"/>
          <w:szCs w:val="18"/>
        </w:rPr>
        <w:t>pXXXIV</w:t>
      </w:r>
      <w:proofErr w:type="spellEnd"/>
      <w:r w:rsidRPr="006163B7">
        <w:rPr>
          <w:rStyle w:val="Hyperlink"/>
          <w:rFonts w:asciiTheme="majorHAnsi" w:hAnsiTheme="majorHAnsi" w:cstheme="majorHAnsi"/>
          <w:sz w:val="18"/>
          <w:szCs w:val="18"/>
        </w:rPr>
        <w:t>.</w:t>
      </w:r>
    </w:p>
  </w:footnote>
  <w:footnote w:id="22">
    <w:p w14:paraId="019BD5F3" w14:textId="77777777" w:rsidR="00163562" w:rsidRPr="006163B7" w:rsidRDefault="00163562" w:rsidP="00163562">
      <w:pPr>
        <w:pStyle w:val="FootnoteText"/>
        <w:rPr>
          <w:rFonts w:asciiTheme="majorHAnsi" w:hAnsiTheme="majorHAnsi" w:cstheme="majorHAnsi"/>
          <w:sz w:val="18"/>
          <w:szCs w:val="18"/>
        </w:rPr>
      </w:pPr>
      <w:r w:rsidRPr="006163B7">
        <w:rPr>
          <w:rStyle w:val="FootnoteReference"/>
          <w:rFonts w:asciiTheme="majorHAnsi" w:hAnsiTheme="majorHAnsi" w:cstheme="majorHAnsi"/>
          <w:sz w:val="18"/>
          <w:szCs w:val="18"/>
        </w:rPr>
        <w:footnoteRef/>
      </w:r>
      <w:r w:rsidRPr="006163B7">
        <w:rPr>
          <w:rFonts w:asciiTheme="majorHAnsi" w:hAnsiTheme="majorHAnsi" w:cstheme="majorHAnsi"/>
          <w:sz w:val="18"/>
          <w:szCs w:val="18"/>
        </w:rPr>
        <w:t xml:space="preserve"> </w:t>
      </w:r>
      <w:hyperlink r:id="rId13" w:history="1">
        <w:r w:rsidRPr="006163B7">
          <w:rPr>
            <w:rStyle w:val="Hyperlink"/>
            <w:rFonts w:asciiTheme="majorHAnsi" w:hAnsiTheme="majorHAnsi" w:cstheme="majorHAnsi"/>
            <w:sz w:val="18"/>
            <w:szCs w:val="18"/>
          </w:rPr>
          <w:t>https://en.wikipedia.org/wiki/Humphry_Davy</w:t>
        </w:r>
      </w:hyperlink>
    </w:p>
  </w:footnote>
  <w:footnote w:id="23">
    <w:p w14:paraId="526B74F0" w14:textId="77777777" w:rsidR="00163562" w:rsidRPr="006163B7" w:rsidRDefault="00163562" w:rsidP="00163562">
      <w:pPr>
        <w:pStyle w:val="FootnoteText"/>
        <w:rPr>
          <w:rFonts w:asciiTheme="majorHAnsi" w:hAnsiTheme="majorHAnsi" w:cstheme="majorHAnsi"/>
          <w:color w:val="202122"/>
          <w:sz w:val="18"/>
          <w:szCs w:val="18"/>
          <w:shd w:val="clear" w:color="auto" w:fill="FFFFFF"/>
        </w:rPr>
      </w:pPr>
      <w:r w:rsidRPr="006163B7">
        <w:rPr>
          <w:rStyle w:val="FootnoteReference"/>
          <w:rFonts w:asciiTheme="majorHAnsi" w:hAnsiTheme="majorHAnsi" w:cstheme="majorHAnsi"/>
          <w:sz w:val="18"/>
          <w:szCs w:val="18"/>
        </w:rPr>
        <w:footnoteRef/>
      </w:r>
      <w:r w:rsidRPr="006163B7">
        <w:rPr>
          <w:rFonts w:asciiTheme="majorHAnsi" w:hAnsiTheme="majorHAnsi" w:cstheme="majorHAnsi"/>
          <w:sz w:val="18"/>
          <w:szCs w:val="18"/>
        </w:rPr>
        <w:t xml:space="preserve"> </w:t>
      </w:r>
      <w:r w:rsidRPr="006163B7">
        <w:rPr>
          <w:rFonts w:asciiTheme="majorHAnsi" w:hAnsiTheme="majorHAnsi" w:cstheme="majorHAnsi"/>
          <w:i/>
          <w:iCs/>
          <w:color w:val="202122"/>
          <w:sz w:val="18"/>
          <w:szCs w:val="18"/>
          <w:shd w:val="clear" w:color="auto" w:fill="FFFFFF"/>
        </w:rPr>
        <w:t>Wikipedia, The Free Encyclopedia,</w:t>
      </w:r>
      <w:r w:rsidRPr="006163B7">
        <w:rPr>
          <w:rFonts w:asciiTheme="majorHAnsi" w:hAnsiTheme="majorHAnsi" w:cstheme="majorHAnsi"/>
          <w:color w:val="202122"/>
          <w:sz w:val="18"/>
          <w:szCs w:val="18"/>
          <w:shd w:val="clear" w:color="auto" w:fill="FFFFFF"/>
        </w:rPr>
        <w:t> </w:t>
      </w:r>
    </w:p>
    <w:p w14:paraId="7F71F4B9" w14:textId="77777777" w:rsidR="00163562" w:rsidRPr="00626D14" w:rsidRDefault="00DF59E4" w:rsidP="00163562">
      <w:pPr>
        <w:pStyle w:val="FootnoteText"/>
        <w:rPr>
          <w:rFonts w:asciiTheme="majorHAnsi" w:hAnsiTheme="majorHAnsi" w:cstheme="majorHAnsi"/>
        </w:rPr>
      </w:pPr>
      <w:hyperlink r:id="rId14" w:history="1">
        <w:r w:rsidR="00163562" w:rsidRPr="006163B7">
          <w:rPr>
            <w:rStyle w:val="Hyperlink"/>
            <w:rFonts w:asciiTheme="majorHAnsi" w:hAnsiTheme="majorHAnsi" w:cstheme="majorHAnsi"/>
            <w:sz w:val="18"/>
            <w:szCs w:val="18"/>
            <w:shd w:val="clear" w:color="auto" w:fill="FFFFFF"/>
          </w:rPr>
          <w:t>https://en.wikipedia.org/w/index.php?title=Parkman%E2%80%93Webster_murder_case&amp;oldid=954073835</w:t>
        </w:r>
      </w:hyperlink>
      <w:r w:rsidR="00163562" w:rsidRPr="006163B7">
        <w:rPr>
          <w:rFonts w:asciiTheme="majorHAnsi" w:hAnsiTheme="majorHAnsi" w:cstheme="majorHAnsi"/>
          <w:color w:val="202122"/>
          <w:sz w:val="18"/>
          <w:szCs w:val="18"/>
          <w:shd w:val="clear" w:color="auto" w:fill="FFFFFF"/>
        </w:rPr>
        <w:t> (accessed May 27, 2020).</w:t>
      </w:r>
    </w:p>
  </w:footnote>
  <w:footnote w:id="24">
    <w:p w14:paraId="51C66B32" w14:textId="77777777" w:rsidR="00163562" w:rsidRPr="00BB5200" w:rsidRDefault="00163562" w:rsidP="00163562">
      <w:pPr>
        <w:pStyle w:val="FootnoteText"/>
        <w:rPr>
          <w:rFonts w:asciiTheme="majorHAnsi" w:hAnsiTheme="majorHAnsi" w:cstheme="majorHAnsi"/>
          <w:sz w:val="18"/>
          <w:szCs w:val="18"/>
        </w:rPr>
      </w:pPr>
      <w:r w:rsidRPr="00BB5200">
        <w:rPr>
          <w:rStyle w:val="FootnoteReference"/>
          <w:rFonts w:asciiTheme="majorHAnsi" w:hAnsiTheme="majorHAnsi" w:cstheme="majorHAnsi"/>
          <w:sz w:val="18"/>
          <w:szCs w:val="18"/>
        </w:rPr>
        <w:footnoteRef/>
      </w:r>
      <w:r w:rsidRPr="00BB5200">
        <w:rPr>
          <w:rFonts w:asciiTheme="majorHAnsi" w:hAnsiTheme="majorHAnsi" w:cstheme="majorHAnsi"/>
          <w:sz w:val="18"/>
          <w:szCs w:val="18"/>
        </w:rPr>
        <w:t xml:space="preserve"> </w:t>
      </w:r>
      <w:r w:rsidRPr="00BB5200">
        <w:rPr>
          <w:rFonts w:asciiTheme="majorHAnsi" w:hAnsiTheme="majorHAnsi" w:cstheme="majorHAnsi"/>
          <w:i/>
          <w:iCs/>
          <w:sz w:val="18"/>
          <w:szCs w:val="18"/>
        </w:rPr>
        <w:t>History of Norfolk County, Mass</w:t>
      </w:r>
      <w:r w:rsidRPr="00BB5200">
        <w:rPr>
          <w:rFonts w:asciiTheme="majorHAnsi" w:hAnsiTheme="majorHAnsi" w:cstheme="majorHAnsi"/>
          <w:sz w:val="18"/>
          <w:szCs w:val="18"/>
        </w:rPr>
        <w:t xml:space="preserve">. Vol. 1, p4. </w:t>
      </w:r>
    </w:p>
  </w:footnote>
  <w:footnote w:id="25">
    <w:p w14:paraId="440B3F18" w14:textId="77777777" w:rsidR="00163562" w:rsidRPr="00BB5200" w:rsidRDefault="00163562" w:rsidP="00163562">
      <w:pPr>
        <w:pStyle w:val="BodyText"/>
        <w:kinsoku w:val="0"/>
        <w:overflowPunct w:val="0"/>
        <w:spacing w:line="240" w:lineRule="auto"/>
        <w:ind w:left="0"/>
        <w:rPr>
          <w:rFonts w:asciiTheme="majorHAnsi" w:hAnsiTheme="majorHAnsi" w:cstheme="majorHAnsi"/>
        </w:rPr>
      </w:pPr>
      <w:r w:rsidRPr="00BB5200">
        <w:rPr>
          <w:rStyle w:val="FootnoteReference"/>
          <w:rFonts w:asciiTheme="majorHAnsi" w:hAnsiTheme="majorHAnsi" w:cstheme="majorHAnsi"/>
        </w:rPr>
        <w:footnoteRef/>
      </w:r>
      <w:r w:rsidRPr="00BB5200">
        <w:rPr>
          <w:rFonts w:asciiTheme="majorHAnsi" w:hAnsiTheme="majorHAnsi" w:cstheme="majorHAnsi"/>
        </w:rPr>
        <w:t xml:space="preserve"> </w:t>
      </w:r>
      <w:hyperlink r:id="rId15" w:history="1">
        <w:r w:rsidRPr="00BB5200">
          <w:rPr>
            <w:rFonts w:asciiTheme="majorHAnsi" w:hAnsiTheme="majorHAnsi" w:cstheme="majorHAnsi"/>
          </w:rPr>
          <w:t>http://www.stoughtonhistory.com/1929historyto1886.htm</w:t>
        </w:r>
      </w:hyperlink>
      <w:r w:rsidRPr="00BB5200">
        <w:rPr>
          <w:rFonts w:asciiTheme="majorHAnsi" w:hAnsiTheme="majorHAnsi" w:cstheme="majorHAnsi"/>
        </w:rPr>
        <w:t xml:space="preserve"> [5/6/2020 6:20:25] </w:t>
      </w:r>
    </w:p>
  </w:footnote>
  <w:footnote w:id="26">
    <w:p w14:paraId="439085A8" w14:textId="77777777" w:rsidR="00177027" w:rsidRPr="000D38D3" w:rsidRDefault="00177027" w:rsidP="00177027">
      <w:pPr>
        <w:pStyle w:val="FootnoteText"/>
        <w:rPr>
          <w:rFonts w:asciiTheme="majorHAnsi" w:hAnsiTheme="majorHAnsi" w:cstheme="majorHAnsi"/>
        </w:rPr>
      </w:pPr>
      <w:r w:rsidRPr="00EE2DDB">
        <w:rPr>
          <w:rStyle w:val="FootnoteReference"/>
          <w:rFonts w:cstheme="majorHAnsi"/>
        </w:rPr>
        <w:footnoteRef/>
      </w:r>
      <w:r w:rsidRPr="00EE2DDB">
        <w:rPr>
          <w:rFonts w:asciiTheme="majorHAnsi" w:hAnsiTheme="majorHAnsi" w:cstheme="majorHAnsi"/>
        </w:rPr>
        <w:t xml:space="preserve"> Alden, Ebenezer. </w:t>
      </w:r>
      <w:r w:rsidRPr="00CF4BF2">
        <w:rPr>
          <w:rFonts w:asciiTheme="majorHAnsi" w:hAnsiTheme="majorHAnsi" w:cstheme="majorHAnsi"/>
          <w:i/>
          <w:iCs/>
        </w:rPr>
        <w:t>Memorial of the Descendants of the Hon. John Alden</w:t>
      </w:r>
      <w:r w:rsidRPr="00EE2DDB">
        <w:rPr>
          <w:rFonts w:asciiTheme="majorHAnsi" w:hAnsiTheme="majorHAnsi" w:cstheme="majorHAnsi"/>
        </w:rPr>
        <w:t xml:space="preserve">. S. P. Brown, 1867. p135. </w:t>
      </w:r>
      <w:hyperlink r:id="rId16" w:history="1">
        <w:r w:rsidRPr="00EE2DDB">
          <w:rPr>
            <w:rStyle w:val="Hyperlink"/>
            <w:rFonts w:asciiTheme="majorHAnsi" w:hAnsiTheme="majorHAnsi" w:cstheme="majorHAnsi"/>
          </w:rPr>
          <w:t>https://books.google.com/books?id=aDYxAAAAMAAJ</w:t>
        </w:r>
      </w:hyperlink>
      <w:r w:rsidRPr="00EE2DDB">
        <w:rPr>
          <w:rFonts w:asciiTheme="majorHAnsi" w:hAnsiTheme="majorHAnsi" w:cstheme="majorHAnsi"/>
        </w:rPr>
        <w:t xml:space="preserve"> </w:t>
      </w:r>
    </w:p>
  </w:footnote>
  <w:footnote w:id="27">
    <w:p w14:paraId="7E806510" w14:textId="77777777" w:rsidR="00163562" w:rsidRPr="00822986" w:rsidRDefault="00163562" w:rsidP="00163562">
      <w:pPr>
        <w:autoSpaceDE w:val="0"/>
        <w:autoSpaceDN w:val="0"/>
        <w:adjustRightInd w:val="0"/>
        <w:spacing w:after="0" w:line="240" w:lineRule="auto"/>
        <w:rPr>
          <w:rFonts w:asciiTheme="majorHAnsi" w:hAnsiTheme="majorHAnsi" w:cstheme="majorHAnsi"/>
          <w:sz w:val="20"/>
          <w:szCs w:val="20"/>
        </w:rPr>
      </w:pPr>
      <w:r w:rsidRPr="00BB5200">
        <w:rPr>
          <w:rStyle w:val="FootnoteReference"/>
          <w:rFonts w:asciiTheme="majorHAnsi" w:hAnsiTheme="majorHAnsi" w:cstheme="majorHAnsi"/>
          <w:sz w:val="18"/>
          <w:szCs w:val="18"/>
        </w:rPr>
        <w:footnoteRef/>
      </w:r>
      <w:r w:rsidRPr="00BB5200">
        <w:rPr>
          <w:rFonts w:asciiTheme="majorHAnsi" w:hAnsiTheme="majorHAnsi" w:cstheme="majorHAnsi"/>
          <w:sz w:val="18"/>
          <w:szCs w:val="18"/>
        </w:rPr>
        <w:t xml:space="preserve"> Society, New England Historic Genealogical. </w:t>
      </w:r>
      <w:r w:rsidRPr="00BB5200">
        <w:rPr>
          <w:rFonts w:asciiTheme="majorHAnsi" w:hAnsiTheme="majorHAnsi" w:cstheme="majorHAnsi"/>
          <w:i/>
          <w:iCs/>
          <w:sz w:val="18"/>
          <w:szCs w:val="18"/>
        </w:rPr>
        <w:t>Memorial Biographies of the New England Historic Genealogical Society.</w:t>
      </w:r>
      <w:r w:rsidRPr="00BB5200">
        <w:rPr>
          <w:rFonts w:asciiTheme="majorHAnsi" w:hAnsiTheme="majorHAnsi" w:cstheme="majorHAnsi"/>
          <w:sz w:val="18"/>
          <w:szCs w:val="18"/>
        </w:rPr>
        <w:t xml:space="preserve"> The Society, 1907. p89-90. </w:t>
      </w:r>
      <w:hyperlink r:id="rId17" w:history="1">
        <w:r w:rsidRPr="00BB5200">
          <w:rPr>
            <w:rStyle w:val="Hyperlink"/>
            <w:rFonts w:asciiTheme="majorHAnsi" w:hAnsiTheme="majorHAnsi" w:cstheme="majorHAnsi"/>
            <w:sz w:val="18"/>
            <w:szCs w:val="18"/>
          </w:rPr>
          <w:t>https://books.google.com/books?id=A3MtAAAAYAAJ</w:t>
        </w:r>
      </w:hyperlink>
      <w:r w:rsidRPr="00822986">
        <w:rPr>
          <w:rFonts w:asciiTheme="majorHAnsi" w:hAnsiTheme="majorHAnsi" w:cstheme="majorHAnsi"/>
          <w:sz w:val="20"/>
          <w:szCs w:val="20"/>
        </w:rPr>
        <w:t xml:space="preserve"> </w:t>
      </w:r>
    </w:p>
  </w:footnote>
  <w:footnote w:id="28">
    <w:p w14:paraId="1EB225DA" w14:textId="77777777" w:rsidR="00163562" w:rsidRPr="00621A7A" w:rsidRDefault="00163562" w:rsidP="00163562">
      <w:pPr>
        <w:pStyle w:val="FootnoteText"/>
        <w:rPr>
          <w:rFonts w:asciiTheme="majorHAnsi" w:hAnsiTheme="majorHAnsi" w:cstheme="majorHAnsi"/>
          <w:sz w:val="18"/>
          <w:szCs w:val="18"/>
        </w:rPr>
      </w:pPr>
      <w:r w:rsidRPr="00621A7A">
        <w:rPr>
          <w:rStyle w:val="FootnoteReference"/>
          <w:rFonts w:asciiTheme="majorHAnsi" w:hAnsiTheme="majorHAnsi" w:cstheme="majorHAnsi"/>
          <w:sz w:val="18"/>
          <w:szCs w:val="18"/>
        </w:rPr>
        <w:footnoteRef/>
      </w:r>
      <w:r w:rsidRPr="00621A7A">
        <w:rPr>
          <w:rFonts w:asciiTheme="majorHAnsi" w:hAnsiTheme="majorHAnsi" w:cstheme="majorHAnsi"/>
          <w:sz w:val="18"/>
          <w:szCs w:val="18"/>
        </w:rPr>
        <w:t xml:space="preserve"> </w:t>
      </w:r>
      <w:r w:rsidRPr="00621A7A">
        <w:rPr>
          <w:rFonts w:asciiTheme="majorHAnsi" w:hAnsiTheme="majorHAnsi" w:cstheme="majorHAnsi"/>
          <w:sz w:val="18"/>
          <w:szCs w:val="18"/>
          <w:shd w:val="clear" w:color="auto" w:fill="FFFEFB"/>
        </w:rPr>
        <w:t>Davis, W. T. (William Thomas). (1900). </w:t>
      </w:r>
      <w:r w:rsidRPr="00621A7A">
        <w:rPr>
          <w:rFonts w:asciiTheme="majorHAnsi" w:hAnsiTheme="majorHAnsi" w:cstheme="majorHAnsi"/>
          <w:i/>
          <w:iCs/>
          <w:sz w:val="18"/>
          <w:szCs w:val="18"/>
          <w:bdr w:val="none" w:sz="0" w:space="0" w:color="auto" w:frame="1"/>
          <w:shd w:val="clear" w:color="auto" w:fill="FFFEFB"/>
        </w:rPr>
        <w:t>History of the judiciary of Massachusetts: including the Plymouth and Massachusetts colonies, the province of the Massachusetts bay, and the commonwealth.</w:t>
      </w:r>
      <w:r w:rsidRPr="00621A7A">
        <w:rPr>
          <w:rFonts w:asciiTheme="majorHAnsi" w:hAnsiTheme="majorHAnsi" w:cstheme="majorHAnsi"/>
          <w:sz w:val="18"/>
          <w:szCs w:val="18"/>
          <w:shd w:val="clear" w:color="auto" w:fill="FFFEFB"/>
        </w:rPr>
        <w:t> [Boston]: The Boston book company. 1900. P256-257.</w:t>
      </w:r>
    </w:p>
  </w:footnote>
  <w:footnote w:id="29">
    <w:p w14:paraId="3362EC98" w14:textId="77777777" w:rsidR="00163562" w:rsidRPr="00621A7A" w:rsidRDefault="00163562" w:rsidP="00163562">
      <w:pPr>
        <w:autoSpaceDE w:val="0"/>
        <w:autoSpaceDN w:val="0"/>
        <w:adjustRightInd w:val="0"/>
        <w:spacing w:after="0" w:line="240" w:lineRule="auto"/>
        <w:rPr>
          <w:rFonts w:asciiTheme="majorHAnsi" w:hAnsiTheme="majorHAnsi" w:cstheme="majorHAnsi"/>
          <w:sz w:val="18"/>
          <w:szCs w:val="18"/>
        </w:rPr>
      </w:pPr>
      <w:r w:rsidRPr="00621A7A">
        <w:rPr>
          <w:rStyle w:val="FootnoteReference"/>
          <w:rFonts w:asciiTheme="majorHAnsi" w:hAnsiTheme="majorHAnsi" w:cstheme="majorHAnsi"/>
          <w:sz w:val="18"/>
          <w:szCs w:val="18"/>
        </w:rPr>
        <w:footnoteRef/>
      </w:r>
      <w:r w:rsidRPr="00621A7A">
        <w:rPr>
          <w:rFonts w:asciiTheme="majorHAnsi" w:hAnsiTheme="majorHAnsi" w:cstheme="majorHAnsi"/>
          <w:sz w:val="18"/>
          <w:szCs w:val="18"/>
        </w:rPr>
        <w:t xml:space="preserve"> Wilkinson, E. </w:t>
      </w:r>
      <w:r w:rsidRPr="00621A7A">
        <w:rPr>
          <w:rFonts w:asciiTheme="majorHAnsi" w:hAnsiTheme="majorHAnsi" w:cstheme="majorHAnsi"/>
          <w:i/>
          <w:iCs/>
          <w:sz w:val="18"/>
          <w:szCs w:val="18"/>
        </w:rPr>
        <w:t>Catalogue of the Private Library of the Late Hon. Ezra Wilkinson ... Including a Very Rare Collection of the Statute Laws of Massachusetts ...: To Be Sold by Auction ... Sept. 19th, 20th, 21st and 22d, 1882, in the Library Salesroom ... Boston ... Sullivan Brothers &amp; Libbie, Auctioneers.</w:t>
      </w:r>
      <w:r w:rsidRPr="00621A7A">
        <w:rPr>
          <w:rFonts w:asciiTheme="majorHAnsi" w:hAnsiTheme="majorHAnsi" w:cstheme="majorHAnsi"/>
          <w:sz w:val="18"/>
          <w:szCs w:val="18"/>
        </w:rPr>
        <w:t xml:space="preserve"> W.F. Brown &amp; Company, printers, 1882. https://books.google.com/books?id=Gi8RAAAAIAAJ.</w:t>
      </w:r>
    </w:p>
  </w:footnote>
  <w:footnote w:id="30">
    <w:p w14:paraId="751B593C" w14:textId="77777777" w:rsidR="00163562" w:rsidRPr="00621A7A" w:rsidRDefault="00163562" w:rsidP="00163562">
      <w:pPr>
        <w:pStyle w:val="FootnoteText"/>
        <w:rPr>
          <w:rFonts w:asciiTheme="majorHAnsi" w:hAnsiTheme="majorHAnsi" w:cstheme="majorHAnsi"/>
          <w:sz w:val="18"/>
          <w:szCs w:val="18"/>
        </w:rPr>
      </w:pPr>
      <w:r w:rsidRPr="00621A7A">
        <w:rPr>
          <w:rStyle w:val="FootnoteReference"/>
          <w:rFonts w:asciiTheme="majorHAnsi" w:hAnsiTheme="majorHAnsi" w:cstheme="majorHAnsi"/>
          <w:sz w:val="18"/>
          <w:szCs w:val="18"/>
        </w:rPr>
        <w:footnoteRef/>
      </w:r>
      <w:r w:rsidRPr="00621A7A">
        <w:rPr>
          <w:rFonts w:asciiTheme="majorHAnsi" w:hAnsiTheme="majorHAnsi" w:cstheme="majorHAnsi"/>
          <w:sz w:val="18"/>
          <w:szCs w:val="18"/>
        </w:rPr>
        <w:t xml:space="preserve"> Burt, </w:t>
      </w:r>
      <w:r w:rsidRPr="00621A7A">
        <w:rPr>
          <w:rFonts w:asciiTheme="majorHAnsi" w:hAnsiTheme="majorHAnsi" w:cstheme="majorHAnsi"/>
          <w:sz w:val="18"/>
          <w:szCs w:val="18"/>
          <w:shd w:val="clear" w:color="auto" w:fill="FAFAFA"/>
        </w:rPr>
        <w:t>Find a Grave Memorial 23087752, 25 Nov 2007.</w:t>
      </w:r>
    </w:p>
  </w:footnote>
  <w:footnote w:id="31">
    <w:p w14:paraId="353B40B8" w14:textId="77777777" w:rsidR="00163562" w:rsidRPr="00621A7A" w:rsidRDefault="00163562" w:rsidP="00163562">
      <w:pPr>
        <w:pStyle w:val="FootnoteText"/>
        <w:rPr>
          <w:rFonts w:asciiTheme="majorHAnsi" w:hAnsiTheme="majorHAnsi" w:cstheme="majorHAnsi"/>
          <w:sz w:val="18"/>
          <w:szCs w:val="18"/>
        </w:rPr>
      </w:pPr>
      <w:r w:rsidRPr="00621A7A">
        <w:rPr>
          <w:rStyle w:val="FootnoteReference"/>
          <w:rFonts w:asciiTheme="majorHAnsi" w:hAnsiTheme="majorHAnsi" w:cstheme="majorHAnsi"/>
          <w:sz w:val="18"/>
          <w:szCs w:val="18"/>
        </w:rPr>
        <w:footnoteRef/>
      </w:r>
      <w:r w:rsidRPr="00621A7A">
        <w:rPr>
          <w:rFonts w:asciiTheme="majorHAnsi" w:hAnsiTheme="majorHAnsi" w:cstheme="majorHAnsi"/>
          <w:sz w:val="18"/>
          <w:szCs w:val="18"/>
        </w:rPr>
        <w:t xml:space="preserve"> John King Jr of Randolph joined the “Old Stoughton Musical Society” in 1839. Forty years later his long-lost daughter Grace Avery King joined the same Society. </w:t>
      </w:r>
      <w:hyperlink r:id="rId18" w:history="1">
        <w:r w:rsidRPr="00621A7A">
          <w:rPr>
            <w:rStyle w:val="Hyperlink"/>
            <w:rFonts w:asciiTheme="majorHAnsi" w:hAnsiTheme="majorHAnsi" w:cstheme="majorHAnsi"/>
            <w:sz w:val="18"/>
            <w:szCs w:val="18"/>
          </w:rPr>
          <w:t>http://www.stoughtonhistory.com/osmsmembers-jn.htm</w:t>
        </w:r>
      </w:hyperlink>
    </w:p>
  </w:footnote>
  <w:footnote w:id="32">
    <w:p w14:paraId="3D2E984E" w14:textId="77777777" w:rsidR="00163562" w:rsidRPr="00621A7A" w:rsidRDefault="00163562" w:rsidP="00163562">
      <w:pPr>
        <w:pStyle w:val="FootnoteText"/>
        <w:rPr>
          <w:rFonts w:asciiTheme="majorHAnsi" w:hAnsiTheme="majorHAnsi" w:cstheme="majorHAnsi"/>
          <w:sz w:val="18"/>
          <w:szCs w:val="18"/>
        </w:rPr>
      </w:pPr>
      <w:r w:rsidRPr="00621A7A">
        <w:rPr>
          <w:rStyle w:val="FootnoteReference"/>
          <w:rFonts w:asciiTheme="majorHAnsi" w:hAnsiTheme="majorHAnsi" w:cstheme="majorHAnsi"/>
          <w:sz w:val="18"/>
          <w:szCs w:val="18"/>
        </w:rPr>
        <w:footnoteRef/>
      </w:r>
      <w:r w:rsidRPr="00621A7A">
        <w:rPr>
          <w:rFonts w:asciiTheme="majorHAnsi" w:hAnsiTheme="majorHAnsi" w:cstheme="majorHAnsi"/>
          <w:sz w:val="18"/>
          <w:szCs w:val="18"/>
        </w:rPr>
        <w:t xml:space="preserve"> Pliny Bingham was an ensign in Captain Guild’s Company of Massachusetts Militia during the War of 1812. Fifty years later his bounty warrant was used to purchase 40 acres in Coles County, Illinois. Jerusha conveyed the Warrant to Samuel White who in turn conveyed it to Joseph Smith. All this was ratified by the (probably mechanical) signature of President Abraham Lincoln in 1863. Military Land Warrant, Vol 935, p438. 20 May 1863.</w:t>
      </w:r>
    </w:p>
  </w:footnote>
  <w:footnote w:id="33">
    <w:p w14:paraId="3F95AA6C" w14:textId="77777777" w:rsidR="00163562" w:rsidRPr="00621A7A" w:rsidRDefault="00163562" w:rsidP="00163562">
      <w:pPr>
        <w:pStyle w:val="FootnoteText"/>
        <w:rPr>
          <w:rFonts w:asciiTheme="majorHAnsi" w:hAnsiTheme="majorHAnsi" w:cstheme="majorHAnsi"/>
          <w:sz w:val="18"/>
          <w:szCs w:val="18"/>
        </w:rPr>
      </w:pPr>
      <w:r w:rsidRPr="00621A7A">
        <w:rPr>
          <w:rStyle w:val="FootnoteReference"/>
          <w:rFonts w:asciiTheme="majorHAnsi" w:hAnsiTheme="majorHAnsi" w:cstheme="majorHAnsi"/>
          <w:sz w:val="18"/>
          <w:szCs w:val="18"/>
        </w:rPr>
        <w:footnoteRef/>
      </w:r>
      <w:r w:rsidRPr="00621A7A">
        <w:rPr>
          <w:rFonts w:asciiTheme="majorHAnsi" w:hAnsiTheme="majorHAnsi" w:cstheme="majorHAnsi"/>
          <w:i/>
          <w:iCs/>
          <w:sz w:val="18"/>
          <w:szCs w:val="18"/>
          <w:shd w:val="clear" w:color="auto" w:fill="FFFFFF"/>
        </w:rPr>
        <w:t>The early records of the town of Dedham, Mass., 1672-1706: a complete transcript of the town meeting and selectmen's records contained in book five of the general records of the town, being volume five of the printed records of the town</w:t>
      </w:r>
      <w:r w:rsidRPr="00621A7A">
        <w:rPr>
          <w:rFonts w:asciiTheme="majorHAnsi" w:hAnsiTheme="majorHAnsi" w:cstheme="majorHAnsi"/>
          <w:sz w:val="18"/>
          <w:szCs w:val="18"/>
          <w:shd w:val="clear" w:color="auto" w:fill="FFFFFF"/>
        </w:rPr>
        <w:t>. unknown: unknown, 1899. p229.</w:t>
      </w:r>
    </w:p>
  </w:footnote>
  <w:footnote w:id="34">
    <w:p w14:paraId="6BB7D303" w14:textId="77777777" w:rsidR="00163562" w:rsidRPr="00621A7A" w:rsidRDefault="00163562" w:rsidP="00163562">
      <w:pPr>
        <w:spacing w:after="0"/>
        <w:rPr>
          <w:rFonts w:asciiTheme="majorHAnsi" w:hAnsiTheme="majorHAnsi" w:cstheme="majorHAnsi"/>
          <w:sz w:val="18"/>
          <w:szCs w:val="18"/>
        </w:rPr>
      </w:pPr>
      <w:r w:rsidRPr="00621A7A">
        <w:rPr>
          <w:rFonts w:asciiTheme="majorHAnsi" w:hAnsiTheme="majorHAnsi" w:cstheme="majorHAnsi"/>
          <w:sz w:val="18"/>
          <w:szCs w:val="18"/>
          <w:vertAlign w:val="superscript"/>
        </w:rPr>
        <w:footnoteRef/>
      </w:r>
      <w:r w:rsidRPr="00621A7A">
        <w:rPr>
          <w:rFonts w:asciiTheme="majorHAnsi" w:hAnsiTheme="majorHAnsi" w:cstheme="majorHAnsi"/>
          <w:sz w:val="18"/>
          <w:szCs w:val="18"/>
        </w:rPr>
        <w:t xml:space="preserve"> Massachusetts, Death Records, 1841-1915. ancestry.com.</w:t>
      </w:r>
    </w:p>
  </w:footnote>
  <w:footnote w:id="35">
    <w:p w14:paraId="06271BDF" w14:textId="77777777" w:rsidR="00163562" w:rsidRPr="00621A7A" w:rsidRDefault="00163562" w:rsidP="00163562">
      <w:pPr>
        <w:pStyle w:val="FootnoteText"/>
        <w:rPr>
          <w:rFonts w:asciiTheme="majorHAnsi" w:hAnsiTheme="majorHAnsi" w:cstheme="majorHAnsi"/>
          <w:sz w:val="18"/>
          <w:szCs w:val="18"/>
        </w:rPr>
      </w:pPr>
      <w:r w:rsidRPr="00621A7A">
        <w:rPr>
          <w:rStyle w:val="FootnoteReference"/>
          <w:rFonts w:asciiTheme="majorHAnsi" w:hAnsiTheme="majorHAnsi" w:cstheme="majorHAnsi"/>
          <w:sz w:val="18"/>
          <w:szCs w:val="18"/>
        </w:rPr>
        <w:footnoteRef/>
      </w:r>
      <w:r w:rsidRPr="00621A7A">
        <w:rPr>
          <w:rFonts w:asciiTheme="majorHAnsi" w:hAnsiTheme="majorHAnsi" w:cstheme="majorHAnsi"/>
          <w:sz w:val="18"/>
          <w:szCs w:val="18"/>
        </w:rPr>
        <w:t xml:space="preserve"> </w:t>
      </w:r>
      <w:r w:rsidRPr="00621A7A">
        <w:rPr>
          <w:rFonts w:asciiTheme="majorHAnsi" w:hAnsiTheme="majorHAnsi" w:cstheme="majorHAnsi"/>
          <w:i/>
          <w:iCs/>
          <w:sz w:val="18"/>
          <w:szCs w:val="18"/>
        </w:rPr>
        <w:t>Massachusetts Register for 1846</w:t>
      </w:r>
      <w:r w:rsidRPr="00621A7A">
        <w:rPr>
          <w:rFonts w:asciiTheme="majorHAnsi" w:hAnsiTheme="majorHAnsi" w:cstheme="majorHAnsi"/>
          <w:sz w:val="18"/>
          <w:szCs w:val="18"/>
        </w:rPr>
        <w:t>. Boston: James Loring, 1846. p86,88.</w:t>
      </w:r>
    </w:p>
  </w:footnote>
  <w:footnote w:id="36">
    <w:p w14:paraId="2564DE34" w14:textId="77777777" w:rsidR="00163562" w:rsidRPr="005E5782" w:rsidRDefault="00163562" w:rsidP="00163562">
      <w:pPr>
        <w:pStyle w:val="FootnoteText"/>
        <w:rPr>
          <w:rFonts w:asciiTheme="majorHAnsi" w:hAnsiTheme="majorHAnsi" w:cstheme="majorHAnsi"/>
        </w:rPr>
      </w:pPr>
      <w:r w:rsidRPr="00621A7A">
        <w:rPr>
          <w:rStyle w:val="FootnoteReference"/>
          <w:rFonts w:asciiTheme="majorHAnsi" w:hAnsiTheme="majorHAnsi" w:cstheme="majorHAnsi"/>
          <w:sz w:val="18"/>
          <w:szCs w:val="18"/>
        </w:rPr>
        <w:footnoteRef/>
      </w:r>
      <w:r w:rsidRPr="00621A7A">
        <w:rPr>
          <w:rFonts w:asciiTheme="majorHAnsi" w:hAnsiTheme="majorHAnsi" w:cstheme="majorHAnsi"/>
          <w:sz w:val="18"/>
          <w:szCs w:val="18"/>
        </w:rPr>
        <w:t xml:space="preserve"> U.S. Census, </w:t>
      </w:r>
      <w:r w:rsidRPr="00621A7A">
        <w:rPr>
          <w:rFonts w:asciiTheme="majorHAnsi" w:hAnsiTheme="majorHAnsi" w:cstheme="majorHAnsi"/>
          <w:color w:val="181A1C"/>
          <w:sz w:val="18"/>
          <w:szCs w:val="18"/>
          <w:shd w:val="clear" w:color="auto" w:fill="FFFFFF"/>
        </w:rPr>
        <w:t>Year: </w:t>
      </w:r>
      <w:r w:rsidRPr="00621A7A">
        <w:rPr>
          <w:rFonts w:asciiTheme="majorHAnsi" w:hAnsiTheme="majorHAnsi" w:cstheme="majorHAnsi"/>
          <w:i/>
          <w:iCs/>
          <w:color w:val="181A1C"/>
          <w:sz w:val="18"/>
          <w:szCs w:val="18"/>
          <w:shd w:val="clear" w:color="auto" w:fill="FFFFFF"/>
        </w:rPr>
        <w:t>1850;</w:t>
      </w:r>
      <w:r w:rsidRPr="00621A7A">
        <w:rPr>
          <w:rFonts w:asciiTheme="majorHAnsi" w:hAnsiTheme="majorHAnsi" w:cstheme="majorHAnsi"/>
          <w:color w:val="181A1C"/>
          <w:sz w:val="18"/>
          <w:szCs w:val="18"/>
          <w:shd w:val="clear" w:color="auto" w:fill="FFFFFF"/>
        </w:rPr>
        <w:t> Census Place: </w:t>
      </w:r>
      <w:r w:rsidRPr="00621A7A">
        <w:rPr>
          <w:rFonts w:asciiTheme="majorHAnsi" w:hAnsiTheme="majorHAnsi" w:cstheme="majorHAnsi"/>
          <w:i/>
          <w:iCs/>
          <w:color w:val="181A1C"/>
          <w:sz w:val="18"/>
          <w:szCs w:val="18"/>
          <w:shd w:val="clear" w:color="auto" w:fill="FFFFFF"/>
        </w:rPr>
        <w:t>Dedham, Norfolk, Massachusetts;</w:t>
      </w:r>
      <w:r w:rsidRPr="00621A7A">
        <w:rPr>
          <w:rFonts w:asciiTheme="majorHAnsi" w:hAnsiTheme="majorHAnsi" w:cstheme="majorHAnsi"/>
          <w:color w:val="181A1C"/>
          <w:sz w:val="18"/>
          <w:szCs w:val="18"/>
          <w:shd w:val="clear" w:color="auto" w:fill="FFFFFF"/>
        </w:rPr>
        <w:t> Roll: </w:t>
      </w:r>
      <w:r w:rsidRPr="00621A7A">
        <w:rPr>
          <w:rFonts w:asciiTheme="majorHAnsi" w:hAnsiTheme="majorHAnsi" w:cstheme="majorHAnsi"/>
          <w:i/>
          <w:iCs/>
          <w:color w:val="181A1C"/>
          <w:sz w:val="18"/>
          <w:szCs w:val="18"/>
          <w:shd w:val="clear" w:color="auto" w:fill="FFFFFF"/>
        </w:rPr>
        <w:t>330;</w:t>
      </w:r>
      <w:r w:rsidRPr="00621A7A">
        <w:rPr>
          <w:rFonts w:asciiTheme="majorHAnsi" w:hAnsiTheme="majorHAnsi" w:cstheme="majorHAnsi"/>
          <w:color w:val="181A1C"/>
          <w:sz w:val="18"/>
          <w:szCs w:val="18"/>
          <w:shd w:val="clear" w:color="auto" w:fill="FFFFFF"/>
        </w:rPr>
        <w:t> Page: </w:t>
      </w:r>
      <w:r w:rsidRPr="00621A7A">
        <w:rPr>
          <w:rFonts w:asciiTheme="majorHAnsi" w:hAnsiTheme="majorHAnsi" w:cstheme="majorHAnsi"/>
          <w:i/>
          <w:iCs/>
          <w:color w:val="181A1C"/>
          <w:sz w:val="18"/>
          <w:szCs w:val="18"/>
          <w:shd w:val="clear" w:color="auto" w:fill="FFFFFF"/>
        </w:rPr>
        <w:t>244B.</w:t>
      </w:r>
      <w:r w:rsidRPr="005E5782">
        <w:rPr>
          <w:rFonts w:asciiTheme="majorHAnsi" w:hAnsiTheme="majorHAnsi" w:cstheme="majorHAnsi"/>
          <w:i/>
          <w:iCs/>
          <w:color w:val="181A1C"/>
          <w:shd w:val="clear" w:color="auto" w:fill="FFFFFF"/>
        </w:rPr>
        <w:t xml:space="preserve"> </w:t>
      </w:r>
    </w:p>
  </w:footnote>
  <w:footnote w:id="37">
    <w:p w14:paraId="29AD4077" w14:textId="77777777" w:rsidR="00163562" w:rsidRPr="00584090" w:rsidRDefault="00163562" w:rsidP="00163562">
      <w:pPr>
        <w:autoSpaceDE w:val="0"/>
        <w:autoSpaceDN w:val="0"/>
        <w:adjustRightInd w:val="0"/>
        <w:spacing w:after="0" w:line="240" w:lineRule="auto"/>
        <w:rPr>
          <w:rFonts w:asciiTheme="majorHAnsi" w:hAnsiTheme="majorHAnsi" w:cstheme="majorHAnsi"/>
          <w:sz w:val="18"/>
          <w:szCs w:val="18"/>
        </w:rPr>
      </w:pPr>
      <w:r w:rsidRPr="00584090">
        <w:rPr>
          <w:rStyle w:val="FootnoteReference"/>
          <w:rFonts w:asciiTheme="majorHAnsi" w:hAnsiTheme="majorHAnsi" w:cstheme="majorHAnsi"/>
          <w:sz w:val="18"/>
          <w:szCs w:val="18"/>
        </w:rPr>
        <w:footnoteRef/>
      </w:r>
      <w:r w:rsidRPr="00584090">
        <w:rPr>
          <w:rFonts w:asciiTheme="majorHAnsi" w:hAnsiTheme="majorHAnsi" w:cstheme="majorHAnsi"/>
          <w:sz w:val="18"/>
          <w:szCs w:val="18"/>
        </w:rPr>
        <w:t xml:space="preserve"> Billings, W., O. Holden, Boston Billings, Holden Society, </w:t>
      </w:r>
      <w:proofErr w:type="spellStart"/>
      <w:r w:rsidRPr="00584090">
        <w:rPr>
          <w:rFonts w:asciiTheme="majorHAnsi" w:hAnsiTheme="majorHAnsi" w:cstheme="majorHAnsi"/>
          <w:sz w:val="18"/>
          <w:szCs w:val="18"/>
        </w:rPr>
        <w:t>Capen</w:t>
      </w:r>
      <w:proofErr w:type="spellEnd"/>
      <w:r w:rsidRPr="00584090">
        <w:rPr>
          <w:rFonts w:asciiTheme="majorHAnsi" w:hAnsiTheme="majorHAnsi" w:cstheme="majorHAnsi"/>
          <w:sz w:val="18"/>
          <w:szCs w:val="18"/>
        </w:rPr>
        <w:t xml:space="preserve"> Marsh, and Lyon. </w:t>
      </w:r>
      <w:r w:rsidRPr="00584090">
        <w:rPr>
          <w:rFonts w:asciiTheme="majorHAnsi" w:hAnsiTheme="majorHAnsi" w:cstheme="majorHAnsi"/>
          <w:i/>
          <w:iCs/>
          <w:sz w:val="18"/>
          <w:szCs w:val="18"/>
        </w:rPr>
        <w:t xml:space="preserve">The Billings and Holden Collection of Ancient </w:t>
      </w:r>
      <w:proofErr w:type="gramStart"/>
      <w:r w:rsidRPr="00584090">
        <w:rPr>
          <w:rFonts w:asciiTheme="majorHAnsi" w:hAnsiTheme="majorHAnsi" w:cstheme="majorHAnsi"/>
          <w:i/>
          <w:iCs/>
          <w:sz w:val="18"/>
          <w:szCs w:val="18"/>
        </w:rPr>
        <w:t>Psalmody,:</w:t>
      </w:r>
      <w:proofErr w:type="gramEnd"/>
      <w:r w:rsidRPr="00584090">
        <w:rPr>
          <w:rFonts w:asciiTheme="majorHAnsi" w:hAnsiTheme="majorHAnsi" w:cstheme="majorHAnsi"/>
          <w:i/>
          <w:iCs/>
          <w:sz w:val="18"/>
          <w:szCs w:val="18"/>
        </w:rPr>
        <w:t xml:space="preserve"> Being a Collection of Psalm and Hymn Tunes, Anthems, &amp;C. Published as Originally Written. : Principally Selected from Ancient Authors, Together with a Few Tunes Never before Published. In Which May Be Found Many Beautiful Pieces from Billings, Holden, Law, Holyoke, Mitchell, Swan, Belknap, Kimball, French, Brown, Holt, Wood, and Other Eminent American and European Authors. : Published under the Patronage of the Boston Billings and Holden Society.</w:t>
      </w:r>
      <w:r w:rsidRPr="00584090">
        <w:rPr>
          <w:rFonts w:asciiTheme="majorHAnsi" w:hAnsiTheme="majorHAnsi" w:cstheme="majorHAnsi"/>
          <w:sz w:val="18"/>
          <w:szCs w:val="18"/>
        </w:rPr>
        <w:t xml:space="preserve"> Marsh, </w:t>
      </w:r>
      <w:proofErr w:type="spellStart"/>
      <w:r w:rsidRPr="00584090">
        <w:rPr>
          <w:rFonts w:asciiTheme="majorHAnsi" w:hAnsiTheme="majorHAnsi" w:cstheme="majorHAnsi"/>
          <w:sz w:val="18"/>
          <w:szCs w:val="18"/>
        </w:rPr>
        <w:t>Capen</w:t>
      </w:r>
      <w:proofErr w:type="spellEnd"/>
      <w:r w:rsidRPr="00584090">
        <w:rPr>
          <w:rFonts w:asciiTheme="majorHAnsi" w:hAnsiTheme="majorHAnsi" w:cstheme="majorHAnsi"/>
          <w:sz w:val="18"/>
          <w:szCs w:val="18"/>
        </w:rPr>
        <w:t xml:space="preserve"> &amp; Lyon, 133 Washington Street., 1836. </w:t>
      </w:r>
      <w:hyperlink r:id="rId19" w:history="1">
        <w:r w:rsidRPr="00584090">
          <w:rPr>
            <w:rStyle w:val="Hyperlink"/>
            <w:rFonts w:asciiTheme="majorHAnsi" w:hAnsiTheme="majorHAnsi" w:cstheme="majorHAnsi"/>
            <w:sz w:val="18"/>
            <w:szCs w:val="18"/>
          </w:rPr>
          <w:t>https://books.google.com/books?id=4b21tgAACAAJ</w:t>
        </w:r>
      </w:hyperlink>
      <w:r w:rsidRPr="00584090">
        <w:rPr>
          <w:rFonts w:asciiTheme="majorHAnsi" w:hAnsiTheme="majorHAnsi" w:cstheme="majorHAnsi"/>
          <w:sz w:val="18"/>
          <w:szCs w:val="18"/>
        </w:rPr>
        <w:t xml:space="preserve"> </w:t>
      </w:r>
    </w:p>
  </w:footnote>
  <w:footnote w:id="38">
    <w:p w14:paraId="768EEB52" w14:textId="77777777" w:rsidR="00163562" w:rsidRPr="00EE2DDB" w:rsidRDefault="00163562" w:rsidP="00163562">
      <w:pPr>
        <w:spacing w:after="0" w:line="240" w:lineRule="auto"/>
        <w:rPr>
          <w:rFonts w:asciiTheme="majorHAnsi" w:hAnsiTheme="majorHAnsi" w:cstheme="majorHAnsi"/>
          <w:sz w:val="20"/>
          <w:szCs w:val="20"/>
        </w:rPr>
      </w:pPr>
      <w:r w:rsidRPr="00584090">
        <w:rPr>
          <w:rFonts w:asciiTheme="majorHAnsi" w:hAnsiTheme="majorHAnsi" w:cstheme="majorHAnsi"/>
          <w:sz w:val="18"/>
          <w:szCs w:val="18"/>
          <w:vertAlign w:val="superscript"/>
        </w:rPr>
        <w:footnoteRef/>
      </w:r>
      <w:r w:rsidRPr="00584090">
        <w:rPr>
          <w:rFonts w:asciiTheme="majorHAnsi" w:hAnsiTheme="majorHAnsi" w:cstheme="majorHAnsi"/>
          <w:sz w:val="18"/>
          <w:szCs w:val="18"/>
          <w:vertAlign w:val="superscript"/>
        </w:rPr>
        <w:t xml:space="preserve"> </w:t>
      </w:r>
      <w:r w:rsidRPr="00584090">
        <w:rPr>
          <w:rFonts w:asciiTheme="majorHAnsi" w:hAnsiTheme="majorHAnsi" w:cstheme="majorHAnsi"/>
          <w:sz w:val="18"/>
          <w:szCs w:val="18"/>
        </w:rPr>
        <w:t xml:space="preserve"> </w:t>
      </w:r>
      <w:hyperlink r:id="rId20" w:history="1">
        <w:r w:rsidRPr="00584090">
          <w:rPr>
            <w:rStyle w:val="Hyperlink"/>
            <w:rFonts w:asciiTheme="majorHAnsi" w:hAnsiTheme="majorHAnsi" w:cstheme="majorHAnsi"/>
            <w:sz w:val="18"/>
            <w:szCs w:val="18"/>
          </w:rPr>
          <w:t>http://www.stoughtonhistory.com/1929historyto1886.htm</w:t>
        </w:r>
      </w:hyperlink>
      <w:r w:rsidRPr="00584090">
        <w:rPr>
          <w:rFonts w:asciiTheme="majorHAnsi" w:hAnsiTheme="majorHAnsi" w:cstheme="majorHAnsi"/>
          <w:sz w:val="18"/>
          <w:szCs w:val="18"/>
        </w:rPr>
        <w:t xml:space="preserve"> [5/6/2020 6:20:25]</w:t>
      </w:r>
    </w:p>
  </w:footnote>
  <w:footnote w:id="39">
    <w:p w14:paraId="03836F5A" w14:textId="77777777" w:rsidR="00163562" w:rsidRPr="00584090" w:rsidRDefault="00163562" w:rsidP="00163562">
      <w:pPr>
        <w:pStyle w:val="FootnoteText"/>
        <w:rPr>
          <w:rFonts w:asciiTheme="majorHAnsi" w:hAnsiTheme="majorHAnsi" w:cstheme="majorHAnsi"/>
          <w:sz w:val="18"/>
          <w:szCs w:val="18"/>
        </w:rPr>
      </w:pPr>
      <w:r w:rsidRPr="00584090">
        <w:rPr>
          <w:rStyle w:val="FootnoteReference"/>
          <w:rFonts w:asciiTheme="majorHAnsi" w:hAnsiTheme="majorHAnsi" w:cstheme="majorHAnsi"/>
          <w:sz w:val="18"/>
          <w:szCs w:val="18"/>
        </w:rPr>
        <w:footnoteRef/>
      </w:r>
      <w:r w:rsidRPr="00584090">
        <w:rPr>
          <w:rFonts w:asciiTheme="majorHAnsi" w:hAnsiTheme="majorHAnsi" w:cstheme="majorHAnsi"/>
          <w:sz w:val="18"/>
          <w:szCs w:val="18"/>
        </w:rPr>
        <w:t xml:space="preserve"> </w:t>
      </w:r>
      <w:r w:rsidRPr="00584090">
        <w:rPr>
          <w:rFonts w:asciiTheme="majorHAnsi" w:hAnsiTheme="majorHAnsi" w:cstheme="majorHAnsi"/>
          <w:i/>
          <w:sz w:val="18"/>
          <w:szCs w:val="18"/>
        </w:rPr>
        <w:t>Boston Directory</w:t>
      </w:r>
      <w:r w:rsidRPr="00584090">
        <w:rPr>
          <w:rFonts w:asciiTheme="majorHAnsi" w:hAnsiTheme="majorHAnsi" w:cstheme="majorHAnsi"/>
          <w:sz w:val="18"/>
          <w:szCs w:val="18"/>
        </w:rPr>
        <w:t>, 1873, 1900 US census.</w:t>
      </w:r>
    </w:p>
  </w:footnote>
  <w:footnote w:id="40">
    <w:p w14:paraId="64537947" w14:textId="77777777" w:rsidR="00163562" w:rsidRPr="00584090" w:rsidRDefault="00163562" w:rsidP="00163562">
      <w:pPr>
        <w:spacing w:after="0" w:line="240" w:lineRule="auto"/>
        <w:rPr>
          <w:rFonts w:asciiTheme="majorHAnsi" w:eastAsia="Times New Roman" w:hAnsiTheme="majorHAnsi" w:cstheme="majorHAnsi"/>
          <w:sz w:val="18"/>
          <w:szCs w:val="18"/>
        </w:rPr>
      </w:pPr>
      <w:r w:rsidRPr="00584090">
        <w:rPr>
          <w:rStyle w:val="FootnoteReference"/>
          <w:rFonts w:asciiTheme="majorHAnsi" w:hAnsiTheme="majorHAnsi" w:cstheme="majorHAnsi"/>
          <w:sz w:val="18"/>
          <w:szCs w:val="18"/>
        </w:rPr>
        <w:footnoteRef/>
      </w:r>
      <w:r w:rsidRPr="00584090">
        <w:rPr>
          <w:rFonts w:asciiTheme="majorHAnsi" w:hAnsiTheme="majorHAnsi" w:cstheme="majorHAnsi"/>
          <w:sz w:val="18"/>
          <w:szCs w:val="18"/>
        </w:rPr>
        <w:t xml:space="preserve"> Eaton, C. </w:t>
      </w:r>
      <w:r w:rsidRPr="00584090">
        <w:rPr>
          <w:rFonts w:asciiTheme="majorHAnsi" w:eastAsia="Times New Roman" w:hAnsiTheme="majorHAnsi" w:cstheme="majorHAnsi"/>
          <w:i/>
          <w:iCs/>
          <w:sz w:val="18"/>
          <w:szCs w:val="18"/>
        </w:rPr>
        <w:t>History of Thomaston, Rockland, and South Thomaston, Maine, from their first exploration, A. D. 1605; with family genealogies</w:t>
      </w:r>
      <w:r w:rsidRPr="00584090">
        <w:rPr>
          <w:rFonts w:asciiTheme="majorHAnsi" w:eastAsia="Times New Roman" w:hAnsiTheme="majorHAnsi" w:cstheme="majorHAnsi"/>
          <w:sz w:val="18"/>
          <w:szCs w:val="18"/>
        </w:rPr>
        <w:t>. Hollowell, Maine. 1865 vol II p117,121, 130.</w:t>
      </w:r>
    </w:p>
  </w:footnote>
  <w:footnote w:id="41">
    <w:p w14:paraId="716091B9" w14:textId="77777777" w:rsidR="00163562" w:rsidRPr="00584090" w:rsidRDefault="00163562" w:rsidP="00163562">
      <w:pPr>
        <w:pStyle w:val="FootnoteText"/>
        <w:rPr>
          <w:rFonts w:asciiTheme="majorHAnsi" w:hAnsiTheme="majorHAnsi" w:cstheme="majorHAnsi"/>
          <w:sz w:val="18"/>
          <w:szCs w:val="18"/>
        </w:rPr>
      </w:pPr>
      <w:r w:rsidRPr="00584090">
        <w:rPr>
          <w:rStyle w:val="FootnoteReference"/>
          <w:rFonts w:asciiTheme="majorHAnsi" w:hAnsiTheme="majorHAnsi" w:cstheme="majorHAnsi"/>
          <w:sz w:val="18"/>
          <w:szCs w:val="18"/>
        </w:rPr>
        <w:footnoteRef/>
      </w:r>
      <w:r w:rsidRPr="00584090">
        <w:rPr>
          <w:rFonts w:asciiTheme="majorHAnsi" w:hAnsiTheme="majorHAnsi" w:cstheme="majorHAnsi"/>
          <w:sz w:val="18"/>
          <w:szCs w:val="18"/>
        </w:rPr>
        <w:t xml:space="preserve"> Year: </w:t>
      </w:r>
      <w:r w:rsidRPr="00584090">
        <w:rPr>
          <w:rFonts w:asciiTheme="majorHAnsi" w:hAnsiTheme="majorHAnsi" w:cstheme="majorHAnsi"/>
          <w:i/>
          <w:iCs/>
          <w:color w:val="181A1C"/>
          <w:sz w:val="18"/>
          <w:szCs w:val="18"/>
          <w:shd w:val="clear" w:color="auto" w:fill="FFFFFF"/>
        </w:rPr>
        <w:t>1850;</w:t>
      </w:r>
      <w:r w:rsidRPr="00584090">
        <w:rPr>
          <w:rFonts w:asciiTheme="majorHAnsi" w:hAnsiTheme="majorHAnsi" w:cstheme="majorHAnsi"/>
          <w:color w:val="181A1C"/>
          <w:sz w:val="18"/>
          <w:szCs w:val="18"/>
          <w:shd w:val="clear" w:color="auto" w:fill="FFFFFF"/>
        </w:rPr>
        <w:t> Census Place: </w:t>
      </w:r>
      <w:r w:rsidRPr="00584090">
        <w:rPr>
          <w:rFonts w:asciiTheme="majorHAnsi" w:hAnsiTheme="majorHAnsi" w:cstheme="majorHAnsi"/>
          <w:i/>
          <w:iCs/>
          <w:color w:val="181A1C"/>
          <w:sz w:val="18"/>
          <w:szCs w:val="18"/>
          <w:shd w:val="clear" w:color="auto" w:fill="FFFFFF"/>
        </w:rPr>
        <w:t>South Thomaston, Lincoln, Maine;</w:t>
      </w:r>
      <w:r w:rsidRPr="00584090">
        <w:rPr>
          <w:rFonts w:asciiTheme="majorHAnsi" w:hAnsiTheme="majorHAnsi" w:cstheme="majorHAnsi"/>
          <w:color w:val="181A1C"/>
          <w:sz w:val="18"/>
          <w:szCs w:val="18"/>
          <w:shd w:val="clear" w:color="auto" w:fill="FFFFFF"/>
        </w:rPr>
        <w:t> Roll: </w:t>
      </w:r>
      <w:r w:rsidRPr="00584090">
        <w:rPr>
          <w:rFonts w:asciiTheme="majorHAnsi" w:hAnsiTheme="majorHAnsi" w:cstheme="majorHAnsi"/>
          <w:i/>
          <w:iCs/>
          <w:color w:val="181A1C"/>
          <w:sz w:val="18"/>
          <w:szCs w:val="18"/>
          <w:shd w:val="clear" w:color="auto" w:fill="FFFFFF"/>
        </w:rPr>
        <w:t>259;</w:t>
      </w:r>
      <w:r w:rsidRPr="00584090">
        <w:rPr>
          <w:rFonts w:asciiTheme="majorHAnsi" w:hAnsiTheme="majorHAnsi" w:cstheme="majorHAnsi"/>
          <w:color w:val="181A1C"/>
          <w:sz w:val="18"/>
          <w:szCs w:val="18"/>
          <w:shd w:val="clear" w:color="auto" w:fill="FFFFFF"/>
        </w:rPr>
        <w:t> Page: </w:t>
      </w:r>
      <w:r w:rsidRPr="00584090">
        <w:rPr>
          <w:rFonts w:asciiTheme="majorHAnsi" w:hAnsiTheme="majorHAnsi" w:cstheme="majorHAnsi"/>
          <w:i/>
          <w:iCs/>
          <w:color w:val="181A1C"/>
          <w:sz w:val="18"/>
          <w:szCs w:val="18"/>
          <w:shd w:val="clear" w:color="auto" w:fill="FFFFFF"/>
        </w:rPr>
        <w:t>135B.</w:t>
      </w:r>
    </w:p>
  </w:footnote>
  <w:footnote w:id="42">
    <w:p w14:paraId="20C36CDB" w14:textId="77777777" w:rsidR="00163562" w:rsidRPr="0039435A" w:rsidRDefault="00163562" w:rsidP="00163562">
      <w:pPr>
        <w:pStyle w:val="FootnoteText"/>
        <w:rPr>
          <w:rFonts w:asciiTheme="majorHAnsi" w:hAnsiTheme="majorHAnsi" w:cstheme="majorHAnsi"/>
          <w:sz w:val="16"/>
          <w:szCs w:val="16"/>
        </w:rPr>
      </w:pPr>
      <w:r w:rsidRPr="00584090">
        <w:rPr>
          <w:rStyle w:val="FootnoteReference"/>
          <w:rFonts w:asciiTheme="majorHAnsi" w:hAnsiTheme="majorHAnsi" w:cstheme="majorHAnsi"/>
          <w:sz w:val="18"/>
          <w:szCs w:val="18"/>
        </w:rPr>
        <w:footnoteRef/>
      </w:r>
      <w:r w:rsidRPr="00584090">
        <w:rPr>
          <w:rFonts w:asciiTheme="majorHAnsi" w:hAnsiTheme="majorHAnsi" w:cstheme="majorHAnsi"/>
          <w:sz w:val="18"/>
          <w:szCs w:val="18"/>
        </w:rPr>
        <w:t xml:space="preserve"> </w:t>
      </w:r>
      <w:r w:rsidRPr="00584090">
        <w:rPr>
          <w:rFonts w:asciiTheme="majorHAnsi" w:hAnsiTheme="majorHAnsi" w:cstheme="majorHAnsi"/>
          <w:color w:val="181A1C"/>
          <w:sz w:val="18"/>
          <w:szCs w:val="18"/>
          <w:shd w:val="clear" w:color="auto" w:fill="FFFFFF"/>
        </w:rPr>
        <w:t>Year: </w:t>
      </w:r>
      <w:r w:rsidRPr="00584090">
        <w:rPr>
          <w:rFonts w:asciiTheme="majorHAnsi" w:hAnsiTheme="majorHAnsi" w:cstheme="majorHAnsi"/>
          <w:i/>
          <w:iCs/>
          <w:color w:val="181A1C"/>
          <w:sz w:val="18"/>
          <w:szCs w:val="18"/>
          <w:shd w:val="clear" w:color="auto" w:fill="FFFFFF"/>
        </w:rPr>
        <w:t>1860;</w:t>
      </w:r>
      <w:r w:rsidRPr="00584090">
        <w:rPr>
          <w:rFonts w:asciiTheme="majorHAnsi" w:hAnsiTheme="majorHAnsi" w:cstheme="majorHAnsi"/>
          <w:color w:val="181A1C"/>
          <w:sz w:val="18"/>
          <w:szCs w:val="18"/>
          <w:shd w:val="clear" w:color="auto" w:fill="FFFFFF"/>
        </w:rPr>
        <w:t> Census Place: </w:t>
      </w:r>
      <w:r w:rsidRPr="00584090">
        <w:rPr>
          <w:rFonts w:asciiTheme="majorHAnsi" w:hAnsiTheme="majorHAnsi" w:cstheme="majorHAnsi"/>
          <w:i/>
          <w:iCs/>
          <w:color w:val="181A1C"/>
          <w:sz w:val="18"/>
          <w:szCs w:val="18"/>
          <w:shd w:val="clear" w:color="auto" w:fill="FFFFFF"/>
        </w:rPr>
        <w:t>South Thomaston, Knox, Maine;</w:t>
      </w:r>
      <w:r w:rsidRPr="00584090">
        <w:rPr>
          <w:rFonts w:asciiTheme="majorHAnsi" w:hAnsiTheme="majorHAnsi" w:cstheme="majorHAnsi"/>
          <w:color w:val="181A1C"/>
          <w:sz w:val="18"/>
          <w:szCs w:val="18"/>
          <w:shd w:val="clear" w:color="auto" w:fill="FFFFFF"/>
        </w:rPr>
        <w:t> Page: </w:t>
      </w:r>
      <w:r w:rsidRPr="00584090">
        <w:rPr>
          <w:rFonts w:asciiTheme="majorHAnsi" w:hAnsiTheme="majorHAnsi" w:cstheme="majorHAnsi"/>
          <w:i/>
          <w:iCs/>
          <w:color w:val="181A1C"/>
          <w:sz w:val="18"/>
          <w:szCs w:val="18"/>
          <w:shd w:val="clear" w:color="auto" w:fill="FFFFFF"/>
        </w:rPr>
        <w:t>355;</w:t>
      </w:r>
      <w:r w:rsidRPr="00584090">
        <w:rPr>
          <w:rFonts w:asciiTheme="majorHAnsi" w:hAnsiTheme="majorHAnsi" w:cstheme="majorHAnsi"/>
          <w:color w:val="181A1C"/>
          <w:sz w:val="18"/>
          <w:szCs w:val="18"/>
          <w:shd w:val="clear" w:color="auto" w:fill="FFFFFF"/>
        </w:rPr>
        <w:t> Family History Library Film: </w:t>
      </w:r>
      <w:r w:rsidRPr="00584090">
        <w:rPr>
          <w:rFonts w:asciiTheme="majorHAnsi" w:hAnsiTheme="majorHAnsi" w:cstheme="majorHAnsi"/>
          <w:i/>
          <w:iCs/>
          <w:color w:val="181A1C"/>
          <w:sz w:val="18"/>
          <w:szCs w:val="18"/>
          <w:shd w:val="clear" w:color="auto" w:fill="FFFFFF"/>
        </w:rPr>
        <w:t>803443.</w:t>
      </w:r>
    </w:p>
  </w:footnote>
  <w:footnote w:id="43">
    <w:p w14:paraId="0433D0C6" w14:textId="77777777" w:rsidR="00163562" w:rsidRPr="0039435A" w:rsidRDefault="00163562" w:rsidP="00163562">
      <w:pPr>
        <w:autoSpaceDE w:val="0"/>
        <w:autoSpaceDN w:val="0"/>
        <w:adjustRightInd w:val="0"/>
        <w:spacing w:after="0" w:line="240" w:lineRule="auto"/>
        <w:rPr>
          <w:rFonts w:asciiTheme="majorHAnsi" w:hAnsiTheme="majorHAnsi" w:cstheme="majorHAnsi"/>
          <w:sz w:val="16"/>
          <w:szCs w:val="16"/>
        </w:rPr>
      </w:pPr>
      <w:r w:rsidRPr="0039435A">
        <w:rPr>
          <w:rStyle w:val="FootnoteReference"/>
          <w:rFonts w:cstheme="majorHAnsi"/>
          <w:sz w:val="16"/>
          <w:szCs w:val="16"/>
        </w:rPr>
        <w:footnoteRef/>
      </w:r>
      <w:r w:rsidRPr="0039435A">
        <w:rPr>
          <w:rFonts w:asciiTheme="majorHAnsi" w:hAnsiTheme="majorHAnsi" w:cstheme="majorHAnsi"/>
          <w:sz w:val="16"/>
          <w:szCs w:val="16"/>
        </w:rPr>
        <w:t xml:space="preserve"> </w:t>
      </w:r>
      <w:proofErr w:type="spellStart"/>
      <w:r w:rsidRPr="0039435A">
        <w:rPr>
          <w:rFonts w:asciiTheme="majorHAnsi" w:hAnsiTheme="majorHAnsi" w:cstheme="majorHAnsi"/>
          <w:sz w:val="16"/>
          <w:szCs w:val="16"/>
        </w:rPr>
        <w:t>Wilentz</w:t>
      </w:r>
      <w:proofErr w:type="spellEnd"/>
      <w:r w:rsidRPr="0039435A">
        <w:rPr>
          <w:rFonts w:asciiTheme="majorHAnsi" w:hAnsiTheme="majorHAnsi" w:cstheme="majorHAnsi"/>
          <w:sz w:val="16"/>
          <w:szCs w:val="16"/>
        </w:rPr>
        <w:t xml:space="preserve">, Sean. “Jeffersonian Democracy and the Origins of Political Antislavery in the United States: The Missouri Crisis Revisited.” </w:t>
      </w:r>
      <w:r w:rsidRPr="0039435A">
        <w:rPr>
          <w:rFonts w:asciiTheme="majorHAnsi" w:hAnsiTheme="majorHAnsi" w:cstheme="majorHAnsi"/>
          <w:i/>
          <w:iCs/>
          <w:sz w:val="16"/>
          <w:szCs w:val="16"/>
        </w:rPr>
        <w:t xml:space="preserve">Journal of The Historical Society </w:t>
      </w:r>
      <w:r w:rsidRPr="0039435A">
        <w:rPr>
          <w:rFonts w:asciiTheme="majorHAnsi" w:hAnsiTheme="majorHAnsi" w:cstheme="majorHAnsi"/>
          <w:sz w:val="16"/>
          <w:szCs w:val="16"/>
        </w:rPr>
        <w:t>4, no. 3 (2004): 375-401. p387.</w:t>
      </w:r>
    </w:p>
  </w:footnote>
  <w:footnote w:id="44">
    <w:p w14:paraId="52DCECC8" w14:textId="77777777" w:rsidR="00163562" w:rsidRDefault="00163562" w:rsidP="00163562">
      <w:pPr>
        <w:pStyle w:val="FootnoteText"/>
      </w:pPr>
      <w:r w:rsidRPr="0039435A">
        <w:rPr>
          <w:rStyle w:val="FootnoteReference"/>
          <w:rFonts w:cstheme="majorHAnsi"/>
          <w:sz w:val="16"/>
          <w:szCs w:val="16"/>
        </w:rPr>
        <w:footnoteRef/>
      </w:r>
      <w:r w:rsidRPr="0039435A">
        <w:rPr>
          <w:rFonts w:asciiTheme="majorHAnsi" w:hAnsiTheme="majorHAnsi" w:cstheme="majorHAnsi"/>
          <w:sz w:val="16"/>
          <w:szCs w:val="16"/>
        </w:rPr>
        <w:t xml:space="preserve"> At least this was the recollection in the </w:t>
      </w:r>
      <w:r w:rsidRPr="0039435A">
        <w:rPr>
          <w:rFonts w:asciiTheme="majorHAnsi" w:hAnsiTheme="majorHAnsi" w:cstheme="majorHAnsi"/>
          <w:i/>
          <w:iCs/>
          <w:sz w:val="16"/>
          <w:szCs w:val="16"/>
        </w:rPr>
        <w:t>Gazette</w:t>
      </w:r>
      <w:r w:rsidRPr="0039435A">
        <w:rPr>
          <w:rFonts w:asciiTheme="majorHAnsi" w:hAnsiTheme="majorHAnsi" w:cstheme="majorHAnsi"/>
          <w:sz w:val="16"/>
          <w:szCs w:val="16"/>
        </w:rPr>
        <w:t xml:space="preserve"> in its </w:t>
      </w:r>
      <w:proofErr w:type="spellStart"/>
      <w:r w:rsidRPr="0039435A">
        <w:rPr>
          <w:rFonts w:asciiTheme="majorHAnsi" w:hAnsiTheme="majorHAnsi" w:cstheme="majorHAnsi"/>
          <w:sz w:val="16"/>
          <w:szCs w:val="16"/>
        </w:rPr>
        <w:t>Centenniel</w:t>
      </w:r>
      <w:proofErr w:type="spellEnd"/>
      <w:r w:rsidRPr="0039435A">
        <w:rPr>
          <w:rFonts w:asciiTheme="majorHAnsi" w:hAnsiTheme="majorHAnsi" w:cstheme="majorHAnsi"/>
          <w:sz w:val="16"/>
          <w:szCs w:val="16"/>
        </w:rPr>
        <w:t xml:space="preserve"> Edition of 4 July 1876. Be it remembered that Knox County was named for its most famous resident, General Henry Knox (1750-1806), who, as Washington’s Chief of Artillery, knew something about “the [</w:t>
      </w:r>
      <w:proofErr w:type="spellStart"/>
      <w:r w:rsidRPr="0039435A">
        <w:rPr>
          <w:rFonts w:asciiTheme="majorHAnsi" w:hAnsiTheme="majorHAnsi" w:cstheme="majorHAnsi"/>
          <w:sz w:val="16"/>
          <w:szCs w:val="16"/>
        </w:rPr>
        <w:t>Congrieve</w:t>
      </w:r>
      <w:proofErr w:type="spellEnd"/>
      <w:r w:rsidRPr="0039435A">
        <w:rPr>
          <w:rFonts w:asciiTheme="majorHAnsi" w:hAnsiTheme="majorHAnsi" w:cstheme="majorHAnsi"/>
          <w:sz w:val="16"/>
          <w:szCs w:val="16"/>
        </w:rPr>
        <w:t xml:space="preserve">] </w:t>
      </w:r>
      <w:proofErr w:type="spellStart"/>
      <w:r w:rsidRPr="0039435A">
        <w:rPr>
          <w:rFonts w:asciiTheme="majorHAnsi" w:hAnsiTheme="majorHAnsi" w:cstheme="majorHAnsi"/>
          <w:sz w:val="16"/>
          <w:szCs w:val="16"/>
        </w:rPr>
        <w:t>rockets</w:t>
      </w:r>
      <w:proofErr w:type="spellEnd"/>
      <w:r w:rsidRPr="0039435A">
        <w:rPr>
          <w:rFonts w:asciiTheme="majorHAnsi" w:hAnsiTheme="majorHAnsi" w:cstheme="majorHAnsi"/>
          <w:sz w:val="16"/>
          <w:szCs w:val="16"/>
        </w:rPr>
        <w:t xml:space="preserve"> red glare.”</w:t>
      </w:r>
    </w:p>
  </w:footnote>
  <w:footnote w:id="45">
    <w:p w14:paraId="00749EFC" w14:textId="77777777" w:rsidR="00163562" w:rsidRPr="00B90B28" w:rsidRDefault="00163562" w:rsidP="00163562">
      <w:pPr>
        <w:autoSpaceDE w:val="0"/>
        <w:autoSpaceDN w:val="0"/>
        <w:adjustRightInd w:val="0"/>
        <w:spacing w:after="0" w:line="240" w:lineRule="auto"/>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Murray, M.M.G. </w:t>
      </w:r>
      <w:r w:rsidRPr="00B90B28">
        <w:rPr>
          <w:rFonts w:asciiTheme="majorHAnsi" w:hAnsiTheme="majorHAnsi" w:cstheme="majorHAnsi"/>
          <w:i/>
          <w:sz w:val="18"/>
          <w:szCs w:val="18"/>
        </w:rPr>
        <w:t>Margaret Fuller, Wandering Pilgrim.</w:t>
      </w:r>
      <w:r w:rsidRPr="00B90B28">
        <w:rPr>
          <w:rFonts w:asciiTheme="majorHAnsi" w:hAnsiTheme="majorHAnsi" w:cstheme="majorHAnsi"/>
          <w:sz w:val="18"/>
          <w:szCs w:val="18"/>
        </w:rPr>
        <w:t xml:space="preserve"> University of Georgia Press, 2012. p10. </w:t>
      </w:r>
      <w:hyperlink r:id="rId21" w:history="1">
        <w:r w:rsidRPr="00B90B28">
          <w:rPr>
            <w:rStyle w:val="Hyperlink"/>
            <w:rFonts w:asciiTheme="majorHAnsi" w:hAnsiTheme="majorHAnsi" w:cstheme="majorHAnsi"/>
            <w:sz w:val="18"/>
            <w:szCs w:val="18"/>
          </w:rPr>
          <w:t>https://books.google.com/books?id=I9fqJeLifJEC</w:t>
        </w:r>
      </w:hyperlink>
      <w:r w:rsidRPr="00B90B28">
        <w:rPr>
          <w:rFonts w:asciiTheme="majorHAnsi" w:hAnsiTheme="majorHAnsi" w:cstheme="majorHAnsi"/>
          <w:sz w:val="18"/>
          <w:szCs w:val="18"/>
        </w:rPr>
        <w:t xml:space="preserve"> </w:t>
      </w:r>
    </w:p>
  </w:footnote>
  <w:footnote w:id="46">
    <w:p w14:paraId="1503D35C" w14:textId="77777777" w:rsidR="00163562" w:rsidRPr="00B90B28" w:rsidRDefault="00163562" w:rsidP="00163562">
      <w:pPr>
        <w:pStyle w:val="FootnoteText"/>
        <w:rPr>
          <w:rFonts w:asciiTheme="majorHAnsi" w:hAnsiTheme="majorHAnsi" w:cstheme="majorHAnsi"/>
          <w:color w:val="000000"/>
          <w:sz w:val="18"/>
          <w:szCs w:val="18"/>
          <w:shd w:val="clear" w:color="auto" w:fill="FFFFFF"/>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w:t>
      </w:r>
      <w:r w:rsidRPr="00B90B28">
        <w:rPr>
          <w:rFonts w:asciiTheme="majorHAnsi" w:hAnsiTheme="majorHAnsi" w:cstheme="majorHAnsi"/>
          <w:color w:val="000000"/>
          <w:sz w:val="18"/>
          <w:szCs w:val="18"/>
          <w:shd w:val="clear" w:color="auto" w:fill="FFFFFF"/>
        </w:rPr>
        <w:t xml:space="preserve">The Act’s passage triggered the conflict known as Bleeding Kansas, over whether Kansas would enter the union as a free or slave state. Proslavery “Missouri Ruffians” and antislavery Northerners rushed to the Kansas territory determined to influence the vote on statehood. Their struggle, characterized by rigged elections and savage fighting, led to a near civil war, including the sacking of Lawrence, Kansas, by slavery supporters and John Brown’s retaliation at </w:t>
      </w:r>
      <w:proofErr w:type="spellStart"/>
      <w:r w:rsidRPr="00B90B28">
        <w:rPr>
          <w:rFonts w:asciiTheme="majorHAnsi" w:hAnsiTheme="majorHAnsi" w:cstheme="majorHAnsi"/>
          <w:color w:val="000000"/>
          <w:sz w:val="18"/>
          <w:szCs w:val="18"/>
          <w:shd w:val="clear" w:color="auto" w:fill="FFFFFF"/>
        </w:rPr>
        <w:t>Pottowatamie</w:t>
      </w:r>
      <w:proofErr w:type="spellEnd"/>
      <w:r w:rsidRPr="00B90B28">
        <w:rPr>
          <w:rFonts w:asciiTheme="majorHAnsi" w:hAnsiTheme="majorHAnsi" w:cstheme="majorHAnsi"/>
          <w:color w:val="000000"/>
          <w:sz w:val="18"/>
          <w:szCs w:val="18"/>
          <w:shd w:val="clear" w:color="auto" w:fill="FFFFFF"/>
        </w:rPr>
        <w:t>, Kansas, driving the two sides even further apart. Both King and Joslyn ended up in Missouri trying to staunch the blood flow by military force. It is not an accident that Geneva has two adjacent streets named Kansas and Nebraska. Many mid-19</w:t>
      </w:r>
      <w:r w:rsidRPr="00B90B28">
        <w:rPr>
          <w:rFonts w:asciiTheme="majorHAnsi" w:hAnsiTheme="majorHAnsi" w:cstheme="majorHAnsi"/>
          <w:color w:val="000000"/>
          <w:sz w:val="18"/>
          <w:szCs w:val="18"/>
          <w:shd w:val="clear" w:color="auto" w:fill="FFFFFF"/>
          <w:vertAlign w:val="superscript"/>
        </w:rPr>
        <w:t>th</w:t>
      </w:r>
      <w:r w:rsidRPr="00B90B28">
        <w:rPr>
          <w:rFonts w:asciiTheme="majorHAnsi" w:hAnsiTheme="majorHAnsi" w:cstheme="majorHAnsi"/>
          <w:color w:val="000000"/>
          <w:sz w:val="18"/>
          <w:szCs w:val="18"/>
          <w:shd w:val="clear" w:color="auto" w:fill="FFFFFF"/>
        </w:rPr>
        <w:t xml:space="preserve"> century Genevans moved to Kansas and Nebraska in part due to the national effort to change their demographics towards abolitionism.</w:t>
      </w:r>
    </w:p>
  </w:footnote>
  <w:footnote w:id="47">
    <w:p w14:paraId="4ED03189" w14:textId="77777777" w:rsidR="00163562" w:rsidRPr="00B90B28" w:rsidRDefault="00163562" w:rsidP="00163562">
      <w:pPr>
        <w:pStyle w:val="FootnoteText"/>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The entry was apparently erased and corrected to “3” and entries below it </w:t>
      </w:r>
      <w:proofErr w:type="gramStart"/>
      <w:r w:rsidRPr="00B90B28">
        <w:rPr>
          <w:rFonts w:asciiTheme="majorHAnsi" w:hAnsiTheme="majorHAnsi" w:cstheme="majorHAnsi"/>
          <w:sz w:val="18"/>
          <w:szCs w:val="18"/>
        </w:rPr>
        <w:t>were</w:t>
      </w:r>
      <w:proofErr w:type="gramEnd"/>
      <w:r w:rsidRPr="00B90B28">
        <w:rPr>
          <w:rFonts w:asciiTheme="majorHAnsi" w:hAnsiTheme="majorHAnsi" w:cstheme="majorHAnsi"/>
          <w:sz w:val="18"/>
          <w:szCs w:val="18"/>
        </w:rPr>
        <w:t xml:space="preserve"> likewise altered suggesting correction of a transcription error – census takers were required to submit a copy of their field </w:t>
      </w:r>
      <w:proofErr w:type="spellStart"/>
      <w:r w:rsidRPr="00B90B28">
        <w:rPr>
          <w:rFonts w:asciiTheme="majorHAnsi" w:hAnsiTheme="majorHAnsi" w:cstheme="majorHAnsi"/>
          <w:sz w:val="18"/>
          <w:szCs w:val="18"/>
        </w:rPr>
        <w:t>noations</w:t>
      </w:r>
      <w:proofErr w:type="spellEnd"/>
      <w:r w:rsidRPr="00B90B28">
        <w:rPr>
          <w:rFonts w:asciiTheme="majorHAnsi" w:hAnsiTheme="majorHAnsi" w:cstheme="majorHAnsi"/>
          <w:sz w:val="18"/>
          <w:szCs w:val="18"/>
        </w:rPr>
        <w:t xml:space="preserve">. </w:t>
      </w:r>
      <w:r w:rsidRPr="00B90B28">
        <w:rPr>
          <w:rFonts w:asciiTheme="majorHAnsi" w:hAnsiTheme="majorHAnsi" w:cstheme="majorHAnsi"/>
          <w:color w:val="181A1C"/>
          <w:sz w:val="18"/>
          <w:szCs w:val="18"/>
          <w:shd w:val="clear" w:color="auto" w:fill="FFFFFF"/>
        </w:rPr>
        <w:t>Year: </w:t>
      </w:r>
      <w:r w:rsidRPr="00B90B28">
        <w:rPr>
          <w:rFonts w:asciiTheme="majorHAnsi" w:hAnsiTheme="majorHAnsi" w:cstheme="majorHAnsi"/>
          <w:i/>
          <w:color w:val="181A1C"/>
          <w:sz w:val="18"/>
          <w:szCs w:val="18"/>
          <w:shd w:val="clear" w:color="auto" w:fill="FFFFFF"/>
        </w:rPr>
        <w:t>1860;</w:t>
      </w:r>
      <w:r w:rsidRPr="00B90B28">
        <w:rPr>
          <w:rFonts w:asciiTheme="majorHAnsi" w:hAnsiTheme="majorHAnsi" w:cstheme="majorHAnsi"/>
          <w:color w:val="181A1C"/>
          <w:sz w:val="18"/>
          <w:szCs w:val="18"/>
          <w:shd w:val="clear" w:color="auto" w:fill="FFFFFF"/>
        </w:rPr>
        <w:t> Census Place: </w:t>
      </w:r>
      <w:r w:rsidRPr="00B90B28">
        <w:rPr>
          <w:rFonts w:asciiTheme="majorHAnsi" w:hAnsiTheme="majorHAnsi" w:cstheme="majorHAnsi"/>
          <w:i/>
          <w:color w:val="181A1C"/>
          <w:sz w:val="18"/>
          <w:szCs w:val="18"/>
          <w:shd w:val="clear" w:color="auto" w:fill="FFFFFF"/>
        </w:rPr>
        <w:t>Elgin, Kane, Illinois;</w:t>
      </w:r>
      <w:r w:rsidRPr="00B90B28">
        <w:rPr>
          <w:rFonts w:asciiTheme="majorHAnsi" w:hAnsiTheme="majorHAnsi" w:cstheme="majorHAnsi"/>
          <w:color w:val="181A1C"/>
          <w:sz w:val="18"/>
          <w:szCs w:val="18"/>
          <w:shd w:val="clear" w:color="auto" w:fill="FFFFFF"/>
        </w:rPr>
        <w:t> p536</w:t>
      </w:r>
      <w:r w:rsidRPr="00B90B28">
        <w:rPr>
          <w:rFonts w:asciiTheme="majorHAnsi" w:hAnsiTheme="majorHAnsi" w:cstheme="majorHAnsi"/>
          <w:i/>
          <w:color w:val="181A1C"/>
          <w:sz w:val="18"/>
          <w:szCs w:val="18"/>
          <w:shd w:val="clear" w:color="auto" w:fill="FFFFFF"/>
        </w:rPr>
        <w:t>;</w:t>
      </w:r>
      <w:r w:rsidRPr="00B90B28">
        <w:rPr>
          <w:rFonts w:asciiTheme="majorHAnsi" w:hAnsiTheme="majorHAnsi" w:cstheme="majorHAnsi"/>
          <w:color w:val="181A1C"/>
          <w:sz w:val="18"/>
          <w:szCs w:val="18"/>
          <w:shd w:val="clear" w:color="auto" w:fill="FFFFFF"/>
        </w:rPr>
        <w:t> Family History Library Film: </w:t>
      </w:r>
      <w:r w:rsidRPr="00B90B28">
        <w:rPr>
          <w:rFonts w:asciiTheme="majorHAnsi" w:hAnsiTheme="majorHAnsi" w:cstheme="majorHAnsi"/>
          <w:i/>
          <w:color w:val="181A1C"/>
          <w:sz w:val="18"/>
          <w:szCs w:val="18"/>
          <w:shd w:val="clear" w:color="auto" w:fill="FFFFFF"/>
        </w:rPr>
        <w:t>803191.</w:t>
      </w:r>
    </w:p>
  </w:footnote>
  <w:footnote w:id="48">
    <w:p w14:paraId="24093431" w14:textId="77777777" w:rsidR="00163562" w:rsidRPr="00B90B28" w:rsidRDefault="00163562" w:rsidP="00163562">
      <w:pPr>
        <w:autoSpaceDE w:val="0"/>
        <w:autoSpaceDN w:val="0"/>
        <w:adjustRightInd w:val="0"/>
        <w:spacing w:after="0" w:line="240" w:lineRule="auto"/>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Commission, United States Civil Service. </w:t>
      </w:r>
      <w:r w:rsidRPr="00B90B28">
        <w:rPr>
          <w:rFonts w:asciiTheme="majorHAnsi" w:hAnsiTheme="majorHAnsi" w:cstheme="majorHAnsi"/>
          <w:i/>
          <w:sz w:val="18"/>
          <w:szCs w:val="18"/>
        </w:rPr>
        <w:t>Official Register of the United States.</w:t>
      </w:r>
      <w:r w:rsidRPr="00B90B28">
        <w:rPr>
          <w:rFonts w:asciiTheme="majorHAnsi" w:hAnsiTheme="majorHAnsi" w:cstheme="majorHAnsi"/>
          <w:sz w:val="18"/>
          <w:szCs w:val="18"/>
        </w:rPr>
        <w:t xml:space="preserve"> U.S. Government Printing Office, 1855. p344. </w:t>
      </w:r>
      <w:hyperlink r:id="rId22" w:history="1">
        <w:r w:rsidRPr="00B90B28">
          <w:rPr>
            <w:rStyle w:val="Hyperlink"/>
            <w:rFonts w:asciiTheme="majorHAnsi" w:hAnsiTheme="majorHAnsi" w:cstheme="majorHAnsi"/>
            <w:sz w:val="18"/>
            <w:szCs w:val="18"/>
          </w:rPr>
          <w:t>https://books.google.com/books?id=5NPrKp8rIpkC</w:t>
        </w:r>
      </w:hyperlink>
      <w:r w:rsidRPr="00B90B28">
        <w:rPr>
          <w:rFonts w:asciiTheme="majorHAnsi" w:hAnsiTheme="majorHAnsi" w:cstheme="majorHAnsi"/>
          <w:sz w:val="18"/>
          <w:szCs w:val="18"/>
        </w:rPr>
        <w:t xml:space="preserve"> </w:t>
      </w:r>
    </w:p>
  </w:footnote>
  <w:footnote w:id="49">
    <w:p w14:paraId="10240EAD" w14:textId="77777777" w:rsidR="00163562" w:rsidRPr="00B90B28" w:rsidRDefault="00163562" w:rsidP="00163562">
      <w:pPr>
        <w:autoSpaceDE w:val="0"/>
        <w:autoSpaceDN w:val="0"/>
        <w:adjustRightInd w:val="0"/>
        <w:spacing w:after="0" w:line="240" w:lineRule="auto"/>
        <w:ind w:left="720" w:hanging="720"/>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Leech, D. D. T. "Post Office Directory." v. New York: J. H. Colton and company, 1856. p44,45.</w:t>
      </w:r>
    </w:p>
  </w:footnote>
  <w:footnote w:id="50">
    <w:p w14:paraId="5253B247" w14:textId="77777777" w:rsidR="00163562" w:rsidRPr="00BA73D8" w:rsidRDefault="00163562" w:rsidP="00163562">
      <w:pPr>
        <w:pStyle w:val="FootnoteText"/>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George Battles was the Romeo Postmaster for only about a year. His successor was Jonathan Wells who bought a farm in southwest Dunham Township about five miles north of Marengo in 1844. Wells went to California in 1850 (and kept a diary of his 4-month journey) and returned to his Dunham Township home in 1854. History of McHenry County, p364. Dunham Township was originally named Byron but as another Byron existed in Illinois a new name was needed in 1850. The task of selecting the name was given to Solomon J. Dunham, Esq., a Justice of the Peace.</w:t>
      </w:r>
    </w:p>
  </w:footnote>
  <w:footnote w:id="51">
    <w:p w14:paraId="6FEB26CE" w14:textId="77777777" w:rsidR="00163562" w:rsidRPr="00B90B28" w:rsidRDefault="00163562" w:rsidP="00163562">
      <w:pPr>
        <w:pStyle w:val="FootnoteText"/>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Howard Genealogy, p129.</w:t>
      </w:r>
    </w:p>
  </w:footnote>
  <w:footnote w:id="52">
    <w:p w14:paraId="2B3CA4F3" w14:textId="77777777" w:rsidR="00163562" w:rsidRPr="00B90B28" w:rsidRDefault="00163562" w:rsidP="00163562">
      <w:pPr>
        <w:autoSpaceDE w:val="0"/>
        <w:autoSpaceDN w:val="0"/>
        <w:adjustRightInd w:val="0"/>
        <w:spacing w:after="0" w:line="240" w:lineRule="auto"/>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History of Elgin, 1875. p93. </w:t>
      </w:r>
      <w:hyperlink r:id="rId23" w:history="1">
        <w:r w:rsidRPr="00B90B28">
          <w:rPr>
            <w:rStyle w:val="Hyperlink"/>
            <w:rFonts w:asciiTheme="majorHAnsi" w:hAnsiTheme="majorHAnsi" w:cstheme="majorHAnsi"/>
            <w:sz w:val="18"/>
            <w:szCs w:val="18"/>
          </w:rPr>
          <w:t>https://historicelgin.com/219-w-highland-avenue</w:t>
        </w:r>
      </w:hyperlink>
      <w:r w:rsidRPr="00B90B28">
        <w:rPr>
          <w:rFonts w:asciiTheme="majorHAnsi" w:hAnsiTheme="majorHAnsi" w:cstheme="majorHAnsi"/>
          <w:sz w:val="18"/>
          <w:szCs w:val="18"/>
        </w:rPr>
        <w:t xml:space="preserve"> As part of a conspiracy designed to foil future historians Elgin, like other towns, changed the names of its streets. In 1984 Galena Road became W Highland Avenue and Summit Street </w:t>
      </w:r>
      <w:proofErr w:type="spellStart"/>
      <w:r w:rsidRPr="00B90B28">
        <w:rPr>
          <w:rFonts w:asciiTheme="majorHAnsi" w:hAnsiTheme="majorHAnsi" w:cstheme="majorHAnsi"/>
          <w:sz w:val="18"/>
          <w:szCs w:val="18"/>
        </w:rPr>
        <w:t>bcame</w:t>
      </w:r>
      <w:proofErr w:type="spellEnd"/>
      <w:r w:rsidRPr="00B90B28">
        <w:rPr>
          <w:rFonts w:asciiTheme="majorHAnsi" w:hAnsiTheme="majorHAnsi" w:cstheme="majorHAnsi"/>
          <w:sz w:val="18"/>
          <w:szCs w:val="18"/>
        </w:rPr>
        <w:t xml:space="preserve"> State Street. </w:t>
      </w:r>
      <w:hyperlink r:id="rId24" w:history="1">
        <w:r w:rsidRPr="00B90B28">
          <w:rPr>
            <w:rStyle w:val="Hyperlink"/>
            <w:rFonts w:asciiTheme="majorHAnsi" w:hAnsiTheme="majorHAnsi" w:cstheme="majorHAnsi"/>
            <w:sz w:val="18"/>
            <w:szCs w:val="18"/>
          </w:rPr>
          <w:t>https://www.cityofelgin.org/531/Street-Name-Changes</w:t>
        </w:r>
      </w:hyperlink>
      <w:r w:rsidRPr="00B90B28">
        <w:rPr>
          <w:rFonts w:asciiTheme="majorHAnsi" w:hAnsiTheme="majorHAnsi" w:cstheme="majorHAnsi"/>
          <w:sz w:val="18"/>
          <w:szCs w:val="18"/>
        </w:rPr>
        <w:t xml:space="preserve"> In 1859 the Waverly House was on the corner of Main and Galena. </w:t>
      </w:r>
      <w:r w:rsidRPr="00B90B28">
        <w:rPr>
          <w:rFonts w:asciiTheme="majorHAnsi" w:hAnsiTheme="majorHAnsi" w:cstheme="majorHAnsi"/>
          <w:i/>
          <w:iCs/>
          <w:sz w:val="18"/>
          <w:szCs w:val="18"/>
        </w:rPr>
        <w:t>Kane County Directory, 1859-60</w:t>
      </w:r>
      <w:r w:rsidRPr="00B90B28">
        <w:rPr>
          <w:rFonts w:asciiTheme="majorHAnsi" w:hAnsiTheme="majorHAnsi" w:cstheme="majorHAnsi"/>
          <w:sz w:val="18"/>
          <w:szCs w:val="18"/>
        </w:rPr>
        <w:t xml:space="preserve">. Chicago, Il: Bailey, 1859. Main Street became State sometime in the distant past. </w:t>
      </w:r>
      <w:proofErr w:type="spellStart"/>
      <w:r w:rsidRPr="00B90B28">
        <w:rPr>
          <w:rFonts w:asciiTheme="majorHAnsi" w:hAnsiTheme="majorHAnsi" w:cstheme="majorHAnsi"/>
          <w:sz w:val="18"/>
          <w:szCs w:val="18"/>
        </w:rPr>
        <w:t>Alft</w:t>
      </w:r>
      <w:proofErr w:type="spellEnd"/>
      <w:r w:rsidRPr="00B90B28">
        <w:rPr>
          <w:rFonts w:asciiTheme="majorHAnsi" w:hAnsiTheme="majorHAnsi" w:cstheme="majorHAnsi"/>
          <w:sz w:val="18"/>
          <w:szCs w:val="18"/>
        </w:rPr>
        <w:t xml:space="preserve">, E. C. </w:t>
      </w:r>
      <w:proofErr w:type="gramStart"/>
      <w:r w:rsidRPr="00B90B28">
        <w:rPr>
          <w:rFonts w:asciiTheme="majorHAnsi" w:hAnsiTheme="majorHAnsi" w:cstheme="majorHAnsi"/>
          <w:i/>
          <w:iCs/>
          <w:sz w:val="18"/>
          <w:szCs w:val="18"/>
        </w:rPr>
        <w:t>Elgin :</w:t>
      </w:r>
      <w:proofErr w:type="gramEnd"/>
      <w:r w:rsidRPr="00B90B28">
        <w:rPr>
          <w:rFonts w:asciiTheme="majorHAnsi" w:hAnsiTheme="majorHAnsi" w:cstheme="majorHAnsi"/>
          <w:i/>
          <w:iCs/>
          <w:sz w:val="18"/>
          <w:szCs w:val="18"/>
        </w:rPr>
        <w:t xml:space="preserve"> An American History, 1835-1985.</w:t>
      </w:r>
      <w:r w:rsidRPr="00B90B28">
        <w:rPr>
          <w:rFonts w:asciiTheme="majorHAnsi" w:hAnsiTheme="majorHAnsi" w:cstheme="majorHAnsi"/>
          <w:sz w:val="18"/>
          <w:szCs w:val="18"/>
        </w:rPr>
        <w:t xml:space="preserve"> 1st ed. Elgin, </w:t>
      </w:r>
      <w:proofErr w:type="gramStart"/>
      <w:r w:rsidRPr="00B90B28">
        <w:rPr>
          <w:rFonts w:asciiTheme="majorHAnsi" w:hAnsiTheme="majorHAnsi" w:cstheme="majorHAnsi"/>
          <w:sz w:val="18"/>
          <w:szCs w:val="18"/>
        </w:rPr>
        <w:t>Ill.?:</w:t>
      </w:r>
      <w:proofErr w:type="gramEnd"/>
      <w:r w:rsidRPr="00B90B28">
        <w:rPr>
          <w:rFonts w:asciiTheme="majorHAnsi" w:hAnsiTheme="majorHAnsi" w:cstheme="majorHAnsi"/>
          <w:sz w:val="18"/>
          <w:szCs w:val="18"/>
        </w:rPr>
        <w:t xml:space="preserve"> Crossroads Communications, 1984. p</w:t>
      </w:r>
    </w:p>
  </w:footnote>
  <w:footnote w:id="53">
    <w:p w14:paraId="5090B859" w14:textId="77777777" w:rsidR="00163562" w:rsidRPr="00B90B28" w:rsidRDefault="00163562" w:rsidP="00163562">
      <w:pPr>
        <w:pStyle w:val="FootnoteText"/>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w:t>
      </w:r>
      <w:r w:rsidRPr="00B90B28">
        <w:rPr>
          <w:rFonts w:asciiTheme="majorHAnsi" w:hAnsiTheme="majorHAnsi" w:cstheme="majorHAnsi"/>
          <w:color w:val="000000"/>
          <w:sz w:val="18"/>
          <w:szCs w:val="18"/>
          <w:shd w:val="clear" w:color="auto" w:fill="FFFFFF"/>
        </w:rPr>
        <w:t xml:space="preserve">William C. L. E. </w:t>
      </w:r>
      <w:proofErr w:type="spellStart"/>
      <w:r w:rsidRPr="00B90B28">
        <w:rPr>
          <w:rFonts w:asciiTheme="majorHAnsi" w:hAnsiTheme="majorHAnsi" w:cstheme="majorHAnsi"/>
          <w:color w:val="000000"/>
          <w:sz w:val="18"/>
          <w:szCs w:val="18"/>
          <w:shd w:val="clear" w:color="auto" w:fill="FFFFFF"/>
        </w:rPr>
        <w:t>Ferslew</w:t>
      </w:r>
      <w:proofErr w:type="spellEnd"/>
      <w:r w:rsidRPr="00B90B28">
        <w:rPr>
          <w:rFonts w:asciiTheme="majorHAnsi" w:hAnsiTheme="majorHAnsi" w:cstheme="majorHAnsi"/>
          <w:color w:val="000000"/>
          <w:sz w:val="18"/>
          <w:szCs w:val="18"/>
          <w:shd w:val="clear" w:color="auto" w:fill="FFFFFF"/>
        </w:rPr>
        <w:t xml:space="preserve">, comp. </w:t>
      </w:r>
      <w:proofErr w:type="spellStart"/>
      <w:r w:rsidRPr="00B90B28">
        <w:rPr>
          <w:rFonts w:asciiTheme="majorHAnsi" w:hAnsiTheme="majorHAnsi" w:cstheme="majorHAnsi"/>
          <w:color w:val="000000"/>
          <w:sz w:val="18"/>
          <w:szCs w:val="18"/>
          <w:shd w:val="clear" w:color="auto" w:fill="FFFFFF"/>
        </w:rPr>
        <w:t>F</w:t>
      </w:r>
      <w:r w:rsidRPr="00B90B28">
        <w:rPr>
          <w:rFonts w:asciiTheme="majorHAnsi" w:hAnsiTheme="majorHAnsi" w:cstheme="majorHAnsi"/>
          <w:i/>
          <w:iCs/>
          <w:color w:val="000000"/>
          <w:sz w:val="18"/>
          <w:szCs w:val="18"/>
          <w:shd w:val="clear" w:color="auto" w:fill="FFFFFF"/>
        </w:rPr>
        <w:t>erslew's</w:t>
      </w:r>
      <w:proofErr w:type="spellEnd"/>
      <w:r w:rsidRPr="00B90B28">
        <w:rPr>
          <w:rFonts w:asciiTheme="majorHAnsi" w:hAnsiTheme="majorHAnsi" w:cstheme="majorHAnsi"/>
          <w:color w:val="000000"/>
          <w:sz w:val="18"/>
          <w:szCs w:val="18"/>
          <w:shd w:val="clear" w:color="auto" w:fill="FFFFFF"/>
        </w:rPr>
        <w:t> </w:t>
      </w:r>
      <w:r w:rsidRPr="00B90B28">
        <w:rPr>
          <w:rFonts w:asciiTheme="majorHAnsi" w:hAnsiTheme="majorHAnsi" w:cstheme="majorHAnsi"/>
          <w:i/>
          <w:iCs/>
          <w:color w:val="000000"/>
          <w:sz w:val="18"/>
          <w:szCs w:val="18"/>
          <w:shd w:val="clear" w:color="auto" w:fill="FFFFFF"/>
        </w:rPr>
        <w:t xml:space="preserve">Kane County </w:t>
      </w:r>
      <w:proofErr w:type="spellStart"/>
      <w:r w:rsidRPr="00B90B28">
        <w:rPr>
          <w:rFonts w:asciiTheme="majorHAnsi" w:hAnsiTheme="majorHAnsi" w:cstheme="majorHAnsi"/>
          <w:i/>
          <w:iCs/>
          <w:color w:val="000000"/>
          <w:sz w:val="18"/>
          <w:szCs w:val="18"/>
          <w:shd w:val="clear" w:color="auto" w:fill="FFFFFF"/>
        </w:rPr>
        <w:t>Gazeteer</w:t>
      </w:r>
      <w:proofErr w:type="spellEnd"/>
      <w:r w:rsidRPr="00B90B28">
        <w:rPr>
          <w:rFonts w:asciiTheme="majorHAnsi" w:hAnsiTheme="majorHAnsi" w:cstheme="majorHAnsi"/>
          <w:i/>
          <w:iCs/>
          <w:color w:val="000000"/>
          <w:sz w:val="18"/>
          <w:szCs w:val="18"/>
          <w:shd w:val="clear" w:color="auto" w:fill="FFFFFF"/>
        </w:rPr>
        <w:t xml:space="preserve">, Directory and Business Advertiser, 1857, </w:t>
      </w:r>
      <w:r w:rsidRPr="00B90B28">
        <w:rPr>
          <w:rFonts w:asciiTheme="majorHAnsi" w:hAnsiTheme="majorHAnsi" w:cstheme="majorHAnsi"/>
          <w:color w:val="000000"/>
          <w:sz w:val="18"/>
          <w:szCs w:val="18"/>
          <w:shd w:val="clear" w:color="auto" w:fill="FFFFFF"/>
        </w:rPr>
        <w:t>Geneva, Illinois, 1857. p121.</w:t>
      </w:r>
    </w:p>
  </w:footnote>
  <w:footnote w:id="54">
    <w:p w14:paraId="5AFCFF67" w14:textId="77777777" w:rsidR="00163562" w:rsidRPr="00F152C8" w:rsidRDefault="00163562" w:rsidP="00163562">
      <w:pPr>
        <w:pStyle w:val="FootnoteText"/>
        <w:rPr>
          <w:rFonts w:ascii="Calibri Light" w:hAnsi="Calibri Light"/>
          <w:sz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w:t>
      </w:r>
      <w:hyperlink r:id="rId25" w:history="1">
        <w:r w:rsidRPr="00F152C8">
          <w:rPr>
            <w:rStyle w:val="paper-title"/>
            <w:rFonts w:asciiTheme="majorHAnsi" w:hAnsiTheme="majorHAnsi" w:cstheme="majorHAnsi"/>
            <w:i/>
            <w:iCs/>
            <w:color w:val="1D1D1D"/>
            <w:sz w:val="18"/>
            <w:szCs w:val="18"/>
            <w:shd w:val="clear" w:color="auto" w:fill="FAFAFA"/>
          </w:rPr>
          <w:t>Freeport Daily Journal,</w:t>
        </w:r>
        <w:r w:rsidRPr="00F152C8">
          <w:rPr>
            <w:rFonts w:asciiTheme="majorHAnsi" w:hAnsiTheme="majorHAnsi" w:cstheme="majorHAnsi"/>
            <w:color w:val="1D1D1D"/>
            <w:sz w:val="18"/>
            <w:szCs w:val="18"/>
            <w:shd w:val="clear" w:color="auto" w:fill="FAFAFA"/>
          </w:rPr>
          <w:t xml:space="preserve"> </w:t>
        </w:r>
        <w:r w:rsidRPr="00F152C8">
          <w:rPr>
            <w:rStyle w:val="Hyperlink"/>
            <w:rFonts w:asciiTheme="majorHAnsi" w:hAnsiTheme="majorHAnsi" w:cstheme="majorHAnsi"/>
            <w:color w:val="1D1D1D"/>
            <w:sz w:val="18"/>
            <w:szCs w:val="18"/>
            <w:u w:val="none"/>
            <w:shd w:val="clear" w:color="auto" w:fill="FAFAFA"/>
          </w:rPr>
          <w:t>Freeport, Illinois, 15 May 1856, Thu, p.2.</w:t>
        </w:r>
        <w:r w:rsidRPr="00F152C8">
          <w:rPr>
            <w:rFonts w:asciiTheme="majorHAnsi" w:hAnsiTheme="majorHAnsi" w:cstheme="majorHAnsi"/>
            <w:color w:val="1D1D1D"/>
            <w:sz w:val="18"/>
            <w:szCs w:val="18"/>
            <w:shd w:val="clear" w:color="auto" w:fill="FAFAFA"/>
          </w:rPr>
          <w:br/>
        </w:r>
      </w:hyperlink>
    </w:p>
  </w:footnote>
  <w:footnote w:id="55">
    <w:p w14:paraId="36DF00CA" w14:textId="77777777" w:rsidR="00163562" w:rsidRPr="00B90B28" w:rsidRDefault="00163562" w:rsidP="00163562">
      <w:pPr>
        <w:autoSpaceDE w:val="0"/>
        <w:autoSpaceDN w:val="0"/>
        <w:adjustRightInd w:val="0"/>
        <w:spacing w:after="0" w:line="240" w:lineRule="auto"/>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History of Clinton County, p Co, Western Historical. </w:t>
      </w:r>
      <w:r w:rsidRPr="00B90B28">
        <w:rPr>
          <w:rFonts w:asciiTheme="majorHAnsi" w:hAnsiTheme="majorHAnsi" w:cstheme="majorHAnsi"/>
          <w:i/>
          <w:iCs/>
          <w:sz w:val="18"/>
          <w:szCs w:val="18"/>
        </w:rPr>
        <w:t>The History of Clinton County, Iowa: Containing a History of the County, Its Cities, Towns &amp;C., Biographical Sketches of Citizens.</w:t>
      </w:r>
      <w:r w:rsidRPr="00B90B28">
        <w:rPr>
          <w:rFonts w:asciiTheme="majorHAnsi" w:hAnsiTheme="majorHAnsi" w:cstheme="majorHAnsi"/>
          <w:sz w:val="18"/>
          <w:szCs w:val="18"/>
        </w:rPr>
        <w:t xml:space="preserve"> Western historical Company, 1879. p403. </w:t>
      </w:r>
      <w:hyperlink r:id="rId26" w:history="1">
        <w:r w:rsidRPr="00B90B28">
          <w:rPr>
            <w:rStyle w:val="Hyperlink"/>
            <w:rFonts w:asciiTheme="majorHAnsi" w:hAnsiTheme="majorHAnsi" w:cstheme="majorHAnsi"/>
            <w:sz w:val="18"/>
            <w:szCs w:val="18"/>
          </w:rPr>
          <w:t>https://books.google.com/books?id=pYQUAAAAYAAJ</w:t>
        </w:r>
      </w:hyperlink>
      <w:r w:rsidRPr="00B90B28">
        <w:rPr>
          <w:rFonts w:asciiTheme="majorHAnsi" w:hAnsiTheme="majorHAnsi" w:cstheme="majorHAnsi"/>
          <w:sz w:val="18"/>
          <w:szCs w:val="18"/>
        </w:rPr>
        <w:t xml:space="preserve"> </w:t>
      </w:r>
    </w:p>
  </w:footnote>
  <w:footnote w:id="56">
    <w:p w14:paraId="242E0E37" w14:textId="77777777" w:rsidR="00163562" w:rsidRPr="00B90B28" w:rsidRDefault="00163562" w:rsidP="00163562">
      <w:pPr>
        <w:spacing w:after="0"/>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With the 1855 announcement that a railroad was to cross the Mississippi several miles south of Lyons at Little Rock Island in the river, the Iowa Land Company was organized.  This company purchased Bartlett’s original tract opposite Little Rock Island, re-platted the town of “New York”, and renamed it Clinton in honor of DeWitt Clinton, Governor of the State of New York. The company’s Iowa Central Hotel and Block (now demolished) was the first substantial structure in Clinton. The Chicago, Iowa and Nebraska (C&amp;IN) Railroad was formed with the intent to cross the river at Clinton. Department of Community Development, City of Clinton, Clinton, Iowa, An Architectural Heritage (1980). </w:t>
      </w:r>
      <w:hyperlink r:id="rId27" w:history="1">
        <w:r w:rsidRPr="00B90B28">
          <w:rPr>
            <w:rStyle w:val="Hyperlink"/>
            <w:rFonts w:asciiTheme="majorHAnsi" w:hAnsiTheme="majorHAnsi" w:cstheme="majorHAnsi"/>
            <w:sz w:val="18"/>
            <w:szCs w:val="18"/>
          </w:rPr>
          <w:t>http://iagenweb.org/clinton/history/arch/hist.htm</w:t>
        </w:r>
      </w:hyperlink>
      <w:r w:rsidRPr="00B90B28">
        <w:rPr>
          <w:rFonts w:asciiTheme="majorHAnsi" w:hAnsiTheme="majorHAnsi" w:cstheme="majorHAnsi"/>
          <w:sz w:val="18"/>
          <w:szCs w:val="18"/>
        </w:rPr>
        <w:t xml:space="preserve"> </w:t>
      </w:r>
    </w:p>
  </w:footnote>
  <w:footnote w:id="57">
    <w:p w14:paraId="15E41CBD" w14:textId="77777777" w:rsidR="00163562" w:rsidRPr="004201C2" w:rsidRDefault="00163562" w:rsidP="00163562">
      <w:pPr>
        <w:pStyle w:val="FootnoteText"/>
        <w:rPr>
          <w:rFonts w:asciiTheme="majorHAnsi" w:hAnsiTheme="majorHAnsi" w:cstheme="majorHAnsi"/>
          <w:sz w:val="18"/>
          <w:szCs w:val="18"/>
        </w:rPr>
      </w:pPr>
      <w:r w:rsidRPr="00B90B28">
        <w:rPr>
          <w:rStyle w:val="FootnoteReference"/>
          <w:rFonts w:asciiTheme="majorHAnsi" w:hAnsiTheme="majorHAnsi" w:cstheme="majorHAnsi"/>
          <w:sz w:val="18"/>
          <w:szCs w:val="18"/>
        </w:rPr>
        <w:footnoteRef/>
      </w:r>
      <w:r w:rsidRPr="00B90B28">
        <w:rPr>
          <w:rFonts w:asciiTheme="majorHAnsi" w:hAnsiTheme="majorHAnsi" w:cstheme="majorHAnsi"/>
          <w:sz w:val="18"/>
          <w:szCs w:val="18"/>
        </w:rPr>
        <w:t xml:space="preserve"> </w:t>
      </w:r>
      <w:hyperlink r:id="rId28" w:history="1">
        <w:r w:rsidRPr="00B90B28">
          <w:rPr>
            <w:rStyle w:val="Hyperlink"/>
            <w:rFonts w:asciiTheme="majorHAnsi" w:hAnsiTheme="majorHAnsi" w:cstheme="majorHAnsi"/>
            <w:sz w:val="18"/>
            <w:szCs w:val="18"/>
          </w:rPr>
          <w:t>https://www.facebook.com/photo.php?fbid=10222887132275722&amp;set=gm.2960521774033551&amp;type=3&amp;theater</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B34C50"/>
    <w:multiLevelType w:val="multilevel"/>
    <w:tmpl w:val="E20CA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M2szQ3MjIxsbCwNDVV0lEKTi0uzszPAykwrAUAdhR5ziwAAAA="/>
    <w:docVar w:name="dgnword-docGUID" w:val="{C76D3D1B-6178-4445-8BD5-FFC041CD12FC}"/>
    <w:docVar w:name="dgnword-eventsink" w:val="1326063073312"/>
  </w:docVars>
  <w:rsids>
    <w:rsidRoot w:val="00163562"/>
    <w:rsid w:val="0001353B"/>
    <w:rsid w:val="00014C79"/>
    <w:rsid w:val="000342CF"/>
    <w:rsid w:val="0005502B"/>
    <w:rsid w:val="00071F66"/>
    <w:rsid w:val="000C5B4F"/>
    <w:rsid w:val="000D1B2D"/>
    <w:rsid w:val="000D7002"/>
    <w:rsid w:val="000E3949"/>
    <w:rsid w:val="0011378F"/>
    <w:rsid w:val="00127B7A"/>
    <w:rsid w:val="00163562"/>
    <w:rsid w:val="0017472E"/>
    <w:rsid w:val="00177027"/>
    <w:rsid w:val="001776DD"/>
    <w:rsid w:val="00185665"/>
    <w:rsid w:val="001A2711"/>
    <w:rsid w:val="001A6795"/>
    <w:rsid w:val="001D016E"/>
    <w:rsid w:val="001D0E18"/>
    <w:rsid w:val="00212372"/>
    <w:rsid w:val="00221DA2"/>
    <w:rsid w:val="002753A7"/>
    <w:rsid w:val="00285741"/>
    <w:rsid w:val="00287B56"/>
    <w:rsid w:val="00287E28"/>
    <w:rsid w:val="002B6BC3"/>
    <w:rsid w:val="002D22CB"/>
    <w:rsid w:val="00302086"/>
    <w:rsid w:val="00337D77"/>
    <w:rsid w:val="0036432F"/>
    <w:rsid w:val="00391784"/>
    <w:rsid w:val="003C6F8E"/>
    <w:rsid w:val="003D1AFC"/>
    <w:rsid w:val="00411237"/>
    <w:rsid w:val="00420D28"/>
    <w:rsid w:val="004265D1"/>
    <w:rsid w:val="0044700B"/>
    <w:rsid w:val="00474F05"/>
    <w:rsid w:val="004D0AA1"/>
    <w:rsid w:val="004D1DEC"/>
    <w:rsid w:val="00523A9A"/>
    <w:rsid w:val="00544647"/>
    <w:rsid w:val="00584090"/>
    <w:rsid w:val="00586A08"/>
    <w:rsid w:val="0061270F"/>
    <w:rsid w:val="006163B7"/>
    <w:rsid w:val="00621A7A"/>
    <w:rsid w:val="00624414"/>
    <w:rsid w:val="00633B53"/>
    <w:rsid w:val="006444FC"/>
    <w:rsid w:val="00654273"/>
    <w:rsid w:val="00661321"/>
    <w:rsid w:val="0066481E"/>
    <w:rsid w:val="00693C8B"/>
    <w:rsid w:val="006D7EC3"/>
    <w:rsid w:val="006E4127"/>
    <w:rsid w:val="00725B37"/>
    <w:rsid w:val="007610D1"/>
    <w:rsid w:val="00797C1D"/>
    <w:rsid w:val="007B60A4"/>
    <w:rsid w:val="007E72EC"/>
    <w:rsid w:val="007F4C84"/>
    <w:rsid w:val="007F7E83"/>
    <w:rsid w:val="00821BAB"/>
    <w:rsid w:val="00835A81"/>
    <w:rsid w:val="008371D5"/>
    <w:rsid w:val="00850313"/>
    <w:rsid w:val="00882C77"/>
    <w:rsid w:val="0089626D"/>
    <w:rsid w:val="008E7369"/>
    <w:rsid w:val="00966EC9"/>
    <w:rsid w:val="009951F8"/>
    <w:rsid w:val="00A56FBB"/>
    <w:rsid w:val="00A63E71"/>
    <w:rsid w:val="00A72A2C"/>
    <w:rsid w:val="00B00281"/>
    <w:rsid w:val="00B213D3"/>
    <w:rsid w:val="00B453B5"/>
    <w:rsid w:val="00B90B28"/>
    <w:rsid w:val="00BB5200"/>
    <w:rsid w:val="00BC52FC"/>
    <w:rsid w:val="00BC7012"/>
    <w:rsid w:val="00C5075F"/>
    <w:rsid w:val="00C52B4C"/>
    <w:rsid w:val="00C75828"/>
    <w:rsid w:val="00C86501"/>
    <w:rsid w:val="00C91ED3"/>
    <w:rsid w:val="00C93EDF"/>
    <w:rsid w:val="00CB3965"/>
    <w:rsid w:val="00CC4975"/>
    <w:rsid w:val="00CD2B07"/>
    <w:rsid w:val="00CE5D81"/>
    <w:rsid w:val="00CF696F"/>
    <w:rsid w:val="00D152CB"/>
    <w:rsid w:val="00D1657F"/>
    <w:rsid w:val="00D34C91"/>
    <w:rsid w:val="00D557CE"/>
    <w:rsid w:val="00D722F1"/>
    <w:rsid w:val="00DC32D8"/>
    <w:rsid w:val="00DD68A5"/>
    <w:rsid w:val="00DF59E4"/>
    <w:rsid w:val="00E26B03"/>
    <w:rsid w:val="00E646B0"/>
    <w:rsid w:val="00E775DF"/>
    <w:rsid w:val="00E863AC"/>
    <w:rsid w:val="00E949CA"/>
    <w:rsid w:val="00EA5BBC"/>
    <w:rsid w:val="00EB5258"/>
    <w:rsid w:val="00F020D2"/>
    <w:rsid w:val="00F112A4"/>
    <w:rsid w:val="00F152C8"/>
    <w:rsid w:val="00F5627F"/>
    <w:rsid w:val="00F93887"/>
    <w:rsid w:val="00F97E65"/>
    <w:rsid w:val="00FE10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40E57A"/>
  <w15:chartTrackingRefBased/>
  <w15:docId w15:val="{198C5CCB-0292-4205-929C-911BA3D10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80"/>
        <w:ind w:firstLine="57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562"/>
    <w:pPr>
      <w:spacing w:after="160" w:line="259" w:lineRule="auto"/>
      <w:ind w:firstLine="0"/>
    </w:pPr>
  </w:style>
  <w:style w:type="paragraph" w:styleId="Heading1">
    <w:name w:val="heading 1"/>
    <w:basedOn w:val="Normal"/>
    <w:next w:val="Normal"/>
    <w:link w:val="Heading1Char"/>
    <w:uiPriority w:val="9"/>
    <w:qFormat/>
    <w:rsid w:val="0016356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6356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6356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16356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356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6356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6356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163562"/>
    <w:rPr>
      <w:rFonts w:asciiTheme="majorHAnsi" w:eastAsiaTheme="majorEastAsia" w:hAnsiTheme="majorHAnsi" w:cstheme="majorBidi"/>
      <w:i/>
      <w:iCs/>
      <w:color w:val="2F5496" w:themeColor="accent1" w:themeShade="BF"/>
    </w:rPr>
  </w:style>
  <w:style w:type="paragraph" w:styleId="FootnoteText">
    <w:name w:val="footnote text"/>
    <w:basedOn w:val="Normal"/>
    <w:link w:val="FootnoteTextChar"/>
    <w:uiPriority w:val="99"/>
    <w:unhideWhenUsed/>
    <w:rsid w:val="00163562"/>
    <w:pPr>
      <w:spacing w:after="0" w:line="240" w:lineRule="auto"/>
    </w:pPr>
    <w:rPr>
      <w:sz w:val="20"/>
      <w:szCs w:val="20"/>
    </w:rPr>
  </w:style>
  <w:style w:type="character" w:customStyle="1" w:styleId="FootnoteTextChar">
    <w:name w:val="Footnote Text Char"/>
    <w:basedOn w:val="DefaultParagraphFont"/>
    <w:link w:val="FootnoteText"/>
    <w:uiPriority w:val="99"/>
    <w:rsid w:val="00163562"/>
    <w:rPr>
      <w:sz w:val="20"/>
      <w:szCs w:val="20"/>
    </w:rPr>
  </w:style>
  <w:style w:type="character" w:styleId="FootnoteReference">
    <w:name w:val="footnote reference"/>
    <w:basedOn w:val="DefaultParagraphFont"/>
    <w:uiPriority w:val="99"/>
    <w:semiHidden/>
    <w:unhideWhenUsed/>
    <w:rsid w:val="00163562"/>
    <w:rPr>
      <w:vertAlign w:val="superscript"/>
    </w:rPr>
  </w:style>
  <w:style w:type="character" w:styleId="Hyperlink">
    <w:name w:val="Hyperlink"/>
    <w:basedOn w:val="DefaultParagraphFont"/>
    <w:uiPriority w:val="99"/>
    <w:unhideWhenUsed/>
    <w:rsid w:val="00163562"/>
    <w:rPr>
      <w:color w:val="0000FF"/>
      <w:u w:val="single"/>
    </w:rPr>
  </w:style>
  <w:style w:type="paragraph" w:customStyle="1" w:styleId="Style1">
    <w:name w:val="Style1"/>
    <w:basedOn w:val="Normal"/>
    <w:link w:val="Style1Char"/>
    <w:qFormat/>
    <w:rsid w:val="00163562"/>
    <w:pPr>
      <w:jc w:val="center"/>
    </w:pPr>
    <w:rPr>
      <w:sz w:val="18"/>
      <w:szCs w:val="18"/>
    </w:rPr>
  </w:style>
  <w:style w:type="character" w:customStyle="1" w:styleId="Style1Char">
    <w:name w:val="Style1 Char"/>
    <w:basedOn w:val="DefaultParagraphFont"/>
    <w:link w:val="Style1"/>
    <w:rsid w:val="00163562"/>
    <w:rPr>
      <w:sz w:val="18"/>
      <w:szCs w:val="18"/>
    </w:rPr>
  </w:style>
  <w:style w:type="paragraph" w:styleId="Caption">
    <w:name w:val="caption"/>
    <w:basedOn w:val="Normal"/>
    <w:next w:val="Normal"/>
    <w:uiPriority w:val="35"/>
    <w:unhideWhenUsed/>
    <w:qFormat/>
    <w:rsid w:val="00163562"/>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163562"/>
    <w:rPr>
      <w:color w:val="605E5C"/>
      <w:shd w:val="clear" w:color="auto" w:fill="E1DFDD"/>
    </w:rPr>
  </w:style>
  <w:style w:type="paragraph" w:customStyle="1" w:styleId="Normal0">
    <w:name w:val="[Normal]"/>
    <w:rsid w:val="00163562"/>
    <w:pPr>
      <w:widowControl w:val="0"/>
      <w:autoSpaceDE w:val="0"/>
      <w:autoSpaceDN w:val="0"/>
      <w:adjustRightInd w:val="0"/>
      <w:spacing w:after="0"/>
      <w:ind w:firstLine="0"/>
    </w:pPr>
    <w:rPr>
      <w:rFonts w:ascii="Arial" w:eastAsiaTheme="minorEastAsia" w:hAnsi="Arial" w:cs="Arial"/>
      <w:sz w:val="24"/>
      <w:szCs w:val="24"/>
    </w:rPr>
  </w:style>
  <w:style w:type="paragraph" w:customStyle="1" w:styleId="Default">
    <w:name w:val="Default"/>
    <w:rsid w:val="00163562"/>
    <w:pPr>
      <w:autoSpaceDE w:val="0"/>
      <w:autoSpaceDN w:val="0"/>
      <w:adjustRightInd w:val="0"/>
      <w:spacing w:after="0"/>
      <w:ind w:firstLine="0"/>
    </w:pPr>
    <w:rPr>
      <w:rFonts w:ascii="Times New Roman" w:hAnsi="Times New Roman" w:cs="Times New Roman"/>
      <w:color w:val="000000"/>
      <w:sz w:val="24"/>
      <w:szCs w:val="24"/>
    </w:rPr>
  </w:style>
  <w:style w:type="paragraph" w:styleId="NormalWeb">
    <w:name w:val="Normal (Web)"/>
    <w:basedOn w:val="Normal"/>
    <w:uiPriority w:val="99"/>
    <w:unhideWhenUsed/>
    <w:rsid w:val="0016356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63562"/>
    <w:rPr>
      <w:b/>
      <w:bCs/>
    </w:rPr>
  </w:style>
  <w:style w:type="paragraph" w:styleId="Header">
    <w:name w:val="header"/>
    <w:basedOn w:val="Normal"/>
    <w:link w:val="HeaderChar"/>
    <w:uiPriority w:val="99"/>
    <w:semiHidden/>
    <w:unhideWhenUsed/>
    <w:rsid w:val="0016356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63562"/>
  </w:style>
  <w:style w:type="paragraph" w:styleId="Footer">
    <w:name w:val="footer"/>
    <w:basedOn w:val="Normal"/>
    <w:link w:val="FooterChar"/>
    <w:uiPriority w:val="99"/>
    <w:semiHidden/>
    <w:unhideWhenUsed/>
    <w:rsid w:val="0016356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63562"/>
  </w:style>
  <w:style w:type="paragraph" w:styleId="Revision">
    <w:name w:val="Revision"/>
    <w:hidden/>
    <w:uiPriority w:val="99"/>
    <w:semiHidden/>
    <w:rsid w:val="00163562"/>
    <w:pPr>
      <w:spacing w:after="0"/>
      <w:ind w:firstLine="0"/>
    </w:pPr>
  </w:style>
  <w:style w:type="paragraph" w:styleId="BalloonText">
    <w:name w:val="Balloon Text"/>
    <w:basedOn w:val="Normal"/>
    <w:link w:val="BalloonTextChar"/>
    <w:uiPriority w:val="99"/>
    <w:semiHidden/>
    <w:unhideWhenUsed/>
    <w:rsid w:val="001635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3562"/>
    <w:rPr>
      <w:rFonts w:ascii="Segoe UI" w:hAnsi="Segoe UI" w:cs="Segoe UI"/>
      <w:sz w:val="18"/>
      <w:szCs w:val="18"/>
    </w:rPr>
  </w:style>
  <w:style w:type="paragraph" w:styleId="BodyText">
    <w:name w:val="Body Text"/>
    <w:basedOn w:val="Normal"/>
    <w:link w:val="BodyTextChar"/>
    <w:uiPriority w:val="1"/>
    <w:qFormat/>
    <w:rsid w:val="00163562"/>
    <w:pPr>
      <w:autoSpaceDE w:val="0"/>
      <w:autoSpaceDN w:val="0"/>
      <w:adjustRightInd w:val="0"/>
      <w:spacing w:after="0" w:line="120" w:lineRule="exact"/>
      <w:ind w:left="211"/>
    </w:pPr>
    <w:rPr>
      <w:rFonts w:ascii="Lucida Sans" w:hAnsi="Lucida Sans" w:cs="Lucida Sans"/>
      <w:sz w:val="18"/>
      <w:szCs w:val="18"/>
    </w:rPr>
  </w:style>
  <w:style w:type="character" w:customStyle="1" w:styleId="BodyTextChar">
    <w:name w:val="Body Text Char"/>
    <w:basedOn w:val="DefaultParagraphFont"/>
    <w:link w:val="BodyText"/>
    <w:uiPriority w:val="1"/>
    <w:rsid w:val="00163562"/>
    <w:rPr>
      <w:rFonts w:ascii="Lucida Sans" w:hAnsi="Lucida Sans" w:cs="Lucida Sans"/>
      <w:sz w:val="18"/>
      <w:szCs w:val="18"/>
    </w:rPr>
  </w:style>
  <w:style w:type="character" w:styleId="FollowedHyperlink">
    <w:name w:val="FollowedHyperlink"/>
    <w:basedOn w:val="DefaultParagraphFont"/>
    <w:uiPriority w:val="99"/>
    <w:semiHidden/>
    <w:unhideWhenUsed/>
    <w:rsid w:val="00163562"/>
    <w:rPr>
      <w:color w:val="954F72" w:themeColor="followedHyperlink"/>
      <w:u w:val="single"/>
    </w:rPr>
  </w:style>
  <w:style w:type="character" w:customStyle="1" w:styleId="factitemlocation">
    <w:name w:val="factitemlocation"/>
    <w:basedOn w:val="DefaultParagraphFont"/>
    <w:rsid w:val="00163562"/>
  </w:style>
  <w:style w:type="character" w:styleId="Emphasis">
    <w:name w:val="Emphasis"/>
    <w:basedOn w:val="DefaultParagraphFont"/>
    <w:uiPriority w:val="20"/>
    <w:qFormat/>
    <w:rsid w:val="00163562"/>
    <w:rPr>
      <w:i/>
      <w:iCs/>
    </w:rPr>
  </w:style>
  <w:style w:type="paragraph" w:customStyle="1" w:styleId="record-citation">
    <w:name w:val="record-citation"/>
    <w:basedOn w:val="Normal"/>
    <w:rsid w:val="001635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xtitalic">
    <w:name w:val="txt_italic"/>
    <w:basedOn w:val="DefaultParagraphFont"/>
    <w:rsid w:val="00163562"/>
  </w:style>
  <w:style w:type="character" w:customStyle="1" w:styleId="jsx-3962670548">
    <w:name w:val="jsx-3962670548"/>
    <w:basedOn w:val="DefaultParagraphFont"/>
    <w:rsid w:val="00163562"/>
  </w:style>
  <w:style w:type="character" w:customStyle="1" w:styleId="jsx-633255383">
    <w:name w:val="jsx-633255383"/>
    <w:basedOn w:val="DefaultParagraphFont"/>
    <w:rsid w:val="00163562"/>
  </w:style>
  <w:style w:type="character" w:customStyle="1" w:styleId="fn">
    <w:name w:val="fn"/>
    <w:basedOn w:val="DefaultParagraphFont"/>
    <w:rsid w:val="00163562"/>
  </w:style>
  <w:style w:type="paragraph" w:styleId="ListParagraph">
    <w:name w:val="List Paragraph"/>
    <w:basedOn w:val="Normal"/>
    <w:uiPriority w:val="1"/>
    <w:qFormat/>
    <w:rsid w:val="00163562"/>
    <w:pPr>
      <w:autoSpaceDE w:val="0"/>
      <w:autoSpaceDN w:val="0"/>
      <w:adjustRightInd w:val="0"/>
      <w:spacing w:after="0" w:line="240" w:lineRule="auto"/>
    </w:pPr>
    <w:rPr>
      <w:rFonts w:ascii="Times New Roman" w:hAnsi="Times New Roman" w:cs="Times New Roman"/>
      <w:sz w:val="24"/>
      <w:szCs w:val="24"/>
    </w:rPr>
  </w:style>
  <w:style w:type="paragraph" w:styleId="Title">
    <w:name w:val="Title"/>
    <w:basedOn w:val="Normal"/>
    <w:next w:val="Normal"/>
    <w:link w:val="TitleChar"/>
    <w:uiPriority w:val="1"/>
    <w:qFormat/>
    <w:rsid w:val="00163562"/>
    <w:pPr>
      <w:autoSpaceDE w:val="0"/>
      <w:autoSpaceDN w:val="0"/>
      <w:adjustRightInd w:val="0"/>
      <w:spacing w:after="0" w:line="240" w:lineRule="auto"/>
    </w:pPr>
    <w:rPr>
      <w:rFonts w:ascii="Times New Roman" w:hAnsi="Times New Roman" w:cs="Times New Roman"/>
      <w:b/>
      <w:bCs/>
      <w:i/>
      <w:iCs/>
      <w:sz w:val="24"/>
      <w:szCs w:val="24"/>
    </w:rPr>
  </w:style>
  <w:style w:type="character" w:customStyle="1" w:styleId="TitleChar">
    <w:name w:val="Title Char"/>
    <w:basedOn w:val="DefaultParagraphFont"/>
    <w:link w:val="Title"/>
    <w:uiPriority w:val="1"/>
    <w:rsid w:val="00163562"/>
    <w:rPr>
      <w:rFonts w:ascii="Times New Roman" w:hAnsi="Times New Roman" w:cs="Times New Roman"/>
      <w:b/>
      <w:bCs/>
      <w:i/>
      <w:iCs/>
      <w:sz w:val="24"/>
      <w:szCs w:val="24"/>
    </w:rPr>
  </w:style>
  <w:style w:type="character" w:styleId="HTMLCite">
    <w:name w:val="HTML Cite"/>
    <w:basedOn w:val="DefaultParagraphFont"/>
    <w:uiPriority w:val="99"/>
    <w:semiHidden/>
    <w:unhideWhenUsed/>
    <w:rsid w:val="00163562"/>
    <w:rPr>
      <w:i/>
      <w:iCs/>
    </w:rPr>
  </w:style>
  <w:style w:type="paragraph" w:customStyle="1" w:styleId="css-1nuro5j">
    <w:name w:val="css-1nuro5j"/>
    <w:basedOn w:val="Normal"/>
    <w:rsid w:val="001635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ss-1baulvz">
    <w:name w:val="css-1baulvz"/>
    <w:basedOn w:val="DefaultParagraphFont"/>
    <w:rsid w:val="00163562"/>
  </w:style>
  <w:style w:type="paragraph" w:customStyle="1" w:styleId="css-ccw2r3">
    <w:name w:val="css-ccw2r3"/>
    <w:basedOn w:val="Normal"/>
    <w:rsid w:val="001635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ss-1ut65qz">
    <w:name w:val="css-1ut65qz"/>
    <w:basedOn w:val="Normal"/>
    <w:rsid w:val="001635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ss-qj0ud4">
    <w:name w:val="css-qj0ud4"/>
    <w:basedOn w:val="Normal"/>
    <w:rsid w:val="001635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per-title">
    <w:name w:val="paper-title"/>
    <w:basedOn w:val="DefaultParagraphFont"/>
    <w:rsid w:val="001635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Rufus_Choate"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en.wikipedia.org/wiki/Daniel_Webste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footnotes.xml.rels><?xml version="1.0" encoding="UTF-8" standalone="yes"?>
<Relationships xmlns="http://schemas.openxmlformats.org/package/2006/relationships"><Relationship Id="rId8" Type="http://schemas.openxmlformats.org/officeDocument/2006/relationships/hyperlink" Target="https://en.wikipedia.org/w/index.php?title=Great_Migration_(African_American)&amp;oldid=953905055" TargetMode="External"/><Relationship Id="rId13" Type="http://schemas.openxmlformats.org/officeDocument/2006/relationships/hyperlink" Target="https://en.wikipedia.org/wiki/Humphry_Davy" TargetMode="External"/><Relationship Id="rId18" Type="http://schemas.openxmlformats.org/officeDocument/2006/relationships/hyperlink" Target="http://www.stoughtonhistory.com/osmsmembers-jn.htm" TargetMode="External"/><Relationship Id="rId26" Type="http://schemas.openxmlformats.org/officeDocument/2006/relationships/hyperlink" Target="https://books.google.com/books?id=pYQUAAAAYAAJ" TargetMode="External"/><Relationship Id="rId3" Type="http://schemas.openxmlformats.org/officeDocument/2006/relationships/hyperlink" Target="https://archive.org/search.php?query=external-identifier%3A%22urn%3Aoclc%3Arecord%3A1046534457%22" TargetMode="External"/><Relationship Id="rId21" Type="http://schemas.openxmlformats.org/officeDocument/2006/relationships/hyperlink" Target="https://books.google.com/books?id=I9fqJeLifJEC" TargetMode="External"/><Relationship Id="rId7" Type="http://schemas.openxmlformats.org/officeDocument/2006/relationships/hyperlink" Target="https://en.wikipedia.org/w/index.php?title=Puritan_migration_to_New_England_(1620%E2%80%931640)&amp;oldid=943826046" TargetMode="External"/><Relationship Id="rId12" Type="http://schemas.openxmlformats.org/officeDocument/2006/relationships/hyperlink" Target="https://bioguideretro.congress.gov/Home/MemberDetails?memIndex=K000203" TargetMode="External"/><Relationship Id="rId17" Type="http://schemas.openxmlformats.org/officeDocument/2006/relationships/hyperlink" Target="https://books.google.com/books?id=A3MtAAAAYAAJ" TargetMode="External"/><Relationship Id="rId25" Type="http://schemas.openxmlformats.org/officeDocument/2006/relationships/hyperlink" Target="https://www.newspapers.com/paper/freeport-daily-journal/26/" TargetMode="External"/><Relationship Id="rId2" Type="http://schemas.openxmlformats.org/officeDocument/2006/relationships/hyperlink" Target="https://books.google.com/books?id=a6NbAAAAMAAJ" TargetMode="External"/><Relationship Id="rId16" Type="http://schemas.openxmlformats.org/officeDocument/2006/relationships/hyperlink" Target="https://books.google.com/books?id=aDYxAAAAMAAJ" TargetMode="External"/><Relationship Id="rId20" Type="http://schemas.openxmlformats.org/officeDocument/2006/relationships/hyperlink" Target="http://www.stoughtonhistory.com/1929historyto1886.htm" TargetMode="External"/><Relationship Id="rId1" Type="http://schemas.openxmlformats.org/officeDocument/2006/relationships/hyperlink" Target="https://www.ancestry.com/imageviewer/collections/2203/images/32761_622204_0352-00016?ssrc=pt&amp;treeid=156384512&amp;personid=262063405466&amp;hintid=&amp;usePUB=true&amp;usePUBJs=true&amp;_ga=2.139521843.1685814643.1601735120-1659798538.1590921733&amp;pId=921324" TargetMode="External"/><Relationship Id="rId6" Type="http://schemas.openxmlformats.org/officeDocument/2006/relationships/hyperlink" Target="https://books.google.com/books?id=wyMuAAAAYAAJ" TargetMode="External"/><Relationship Id="rId11" Type="http://schemas.openxmlformats.org/officeDocument/2006/relationships/hyperlink" Target="https://books.google.com/books?id=cZgsAAAAMAAJ" TargetMode="External"/><Relationship Id="rId24" Type="http://schemas.openxmlformats.org/officeDocument/2006/relationships/hyperlink" Target="https://www.cityofelgin.org/531/Street-Name-Changes" TargetMode="External"/><Relationship Id="rId5" Type="http://schemas.openxmlformats.org/officeDocument/2006/relationships/hyperlink" Target="https://books.google.com/books?id=p454kgAACAAJ" TargetMode="External"/><Relationship Id="rId15" Type="http://schemas.openxmlformats.org/officeDocument/2006/relationships/hyperlink" Target="http://www.stoughtonhistory.com/1929historyto1886.htm" TargetMode="External"/><Relationship Id="rId23" Type="http://schemas.openxmlformats.org/officeDocument/2006/relationships/hyperlink" Target="https://historicelgin.com/219-w-highland-avenue" TargetMode="External"/><Relationship Id="rId28" Type="http://schemas.openxmlformats.org/officeDocument/2006/relationships/hyperlink" Target="https://www.facebook.com/photo.php?fbid=10222887132275722&amp;set=gm.2960521774033551&amp;type=3&amp;theater" TargetMode="External"/><Relationship Id="rId10" Type="http://schemas.openxmlformats.org/officeDocument/2006/relationships/hyperlink" Target="https://www.brainpickings.org/2015/06/30/margaret-fuller-thoreau-letter/" TargetMode="External"/><Relationship Id="rId19" Type="http://schemas.openxmlformats.org/officeDocument/2006/relationships/hyperlink" Target="https://books.google.com/books?id=4b21tgAACAAJ" TargetMode="External"/><Relationship Id="rId4" Type="http://schemas.openxmlformats.org/officeDocument/2006/relationships/hyperlink" Target="https://books.google.com/books?id=9lNMAQAAMAAJ" TargetMode="External"/><Relationship Id="rId9" Type="http://schemas.openxmlformats.org/officeDocument/2006/relationships/hyperlink" Target="https://books.google.com/books?id=_AQ1AQAAMAAJ" TargetMode="External"/><Relationship Id="rId14" Type="http://schemas.openxmlformats.org/officeDocument/2006/relationships/hyperlink" Target="https://en.wikipedia.org/w/index.php?title=Parkman%E2%80%93Webster_murder_case&amp;oldid=954073835" TargetMode="External"/><Relationship Id="rId22" Type="http://schemas.openxmlformats.org/officeDocument/2006/relationships/hyperlink" Target="https://books.google.com/books?id=5NPrKp8rIpkC" TargetMode="External"/><Relationship Id="rId27" Type="http://schemas.openxmlformats.org/officeDocument/2006/relationships/hyperlink" Target="http://iagenweb.org/clinton/history/arch/hist.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9D50DE-0BD6-47AC-B77A-FE6030330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12</Pages>
  <Words>3210</Words>
  <Characters>18298</Characters>
  <Application>Microsoft Office Word</Application>
  <DocSecurity>0</DocSecurity>
  <Lines>152</Lines>
  <Paragraphs>42</Paragraphs>
  <ScaleCrop>false</ScaleCrop>
  <Company/>
  <LinksUpToDate>false</LinksUpToDate>
  <CharactersWithSpaces>21466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Rodney Nelson</dc:creator>
  <cp:keywords/>
  <dc:description/>
  <cp:lastModifiedBy>Rodney Nelson</cp:lastModifiedBy>
  <cp:revision>109</cp:revision>
  <dcterms:created xsi:type="dcterms:W3CDTF">2020-09-28T16:52:00Z</dcterms:created>
  <dcterms:modified xsi:type="dcterms:W3CDTF">2020-10-05T13:40:00Z</dcterms:modified>
</cp:coreProperties>
</file>